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70EB10EE" w:rsidR="000605EA" w:rsidRPr="0023011D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WG1 #109-e</w:t>
      </w:r>
      <w:r w:rsidRPr="0023011D">
        <w:rPr>
          <w:rFonts w:cs="Arial"/>
          <w:bCs/>
          <w:sz w:val="22"/>
          <w:szCs w:val="22"/>
        </w:rPr>
        <w:tab/>
        <w:t>R1-</w:t>
      </w:r>
      <w:r w:rsidR="008958EE" w:rsidRPr="008958EE">
        <w:t xml:space="preserve"> </w:t>
      </w:r>
      <w:r w:rsidR="008958EE" w:rsidRPr="008958EE">
        <w:rPr>
          <w:rFonts w:cs="Arial"/>
          <w:bCs/>
          <w:sz w:val="22"/>
          <w:szCs w:val="22"/>
        </w:rPr>
        <w:t>2204093</w:t>
      </w:r>
    </w:p>
    <w:p w14:paraId="79F51287" w14:textId="77777777" w:rsidR="000605EA" w:rsidRPr="0023011D" w:rsidRDefault="000605EA" w:rsidP="000605EA">
      <w:pPr>
        <w:tabs>
          <w:tab w:val="left" w:pos="2552"/>
        </w:tabs>
        <w:spacing w:after="0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23011D">
        <w:rPr>
          <w:rFonts w:ascii="Arial" w:eastAsia="MS Mincho" w:hAnsi="Arial" w:cs="Arial"/>
          <w:b/>
          <w:bCs/>
          <w:sz w:val="22"/>
          <w:szCs w:val="22"/>
          <w:lang w:eastAsia="en-US"/>
        </w:rPr>
        <w:t>e-Meeting, May 9</w:t>
      </w:r>
      <w:r w:rsidRPr="0023011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en-US"/>
        </w:rPr>
        <w:t>th</w:t>
      </w:r>
      <w:r w:rsidRPr="0023011D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– 20</w:t>
      </w:r>
      <w:r w:rsidRPr="0023011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en-US"/>
        </w:rPr>
        <w:t>th</w:t>
      </w:r>
      <w:r w:rsidRPr="0023011D">
        <w:rPr>
          <w:rFonts w:ascii="Arial" w:eastAsia="MS Mincho" w:hAnsi="Arial" w:cs="Arial"/>
          <w:b/>
          <w:bCs/>
          <w:sz w:val="22"/>
          <w:szCs w:val="22"/>
          <w:lang w:eastAsia="en-US"/>
        </w:rPr>
        <w:t>, 2022</w:t>
      </w:r>
    </w:p>
    <w:bookmarkEnd w:id="0"/>
    <w:p w14:paraId="49D4C6BE" w14:textId="77777777" w:rsidR="000605EA" w:rsidRPr="0023011D" w:rsidRDefault="000605EA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691091A7" w:rsidR="000605EA" w:rsidRPr="0023011D" w:rsidRDefault="000605EA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9.</w:t>
      </w:r>
      <w:r w:rsidR="0096476D">
        <w:rPr>
          <w:rFonts w:ascii="Arial" w:eastAsia="SimSun" w:hAnsi="Arial" w:cs="Arial"/>
          <w:b/>
          <w:sz w:val="22"/>
          <w:szCs w:val="22"/>
          <w:lang w:eastAsia="zh-CN"/>
        </w:rPr>
        <w:t>4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.1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>Toyota InfoTechnology Center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6059E6">
        <w:rPr>
          <w:rFonts w:ascii="Arial" w:hAnsi="Arial" w:cs="Arial"/>
          <w:b/>
          <w:sz w:val="22"/>
          <w:szCs w:val="22"/>
          <w:lang w:eastAsia="en-US"/>
        </w:rPr>
        <w:t xml:space="preserve">Discussion on </w:t>
      </w:r>
      <w:r w:rsidR="003701FF">
        <w:rPr>
          <w:rFonts w:ascii="Arial" w:hAnsi="Arial" w:cs="Arial"/>
          <w:b/>
          <w:sz w:val="22"/>
          <w:szCs w:val="22"/>
          <w:lang w:eastAsia="en-US"/>
        </w:rPr>
        <w:t>V2X u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>se cases</w:t>
      </w:r>
      <w:r w:rsidR="006059E6">
        <w:rPr>
          <w:rFonts w:ascii="Arial" w:hAnsi="Arial" w:cs="Arial"/>
          <w:b/>
          <w:sz w:val="22"/>
          <w:szCs w:val="22"/>
          <w:lang w:eastAsia="en-US"/>
        </w:rPr>
        <w:t>, scenarios,</w:t>
      </w:r>
      <w:r w:rsidR="00C272B6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="009977FD">
        <w:rPr>
          <w:rFonts w:ascii="Arial" w:hAnsi="Arial" w:cs="Arial"/>
          <w:b/>
          <w:sz w:val="22"/>
          <w:szCs w:val="22"/>
          <w:lang w:eastAsia="en-US"/>
        </w:rPr>
        <w:t>and requirements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 xml:space="preserve"> for </w:t>
      </w:r>
      <w:r w:rsidR="00AC0E08">
        <w:rPr>
          <w:rFonts w:ascii="Arial" w:hAnsi="Arial" w:cs="Arial"/>
          <w:b/>
          <w:sz w:val="22"/>
          <w:szCs w:val="22"/>
          <w:lang w:eastAsia="en-US"/>
        </w:rPr>
        <w:t>SL-U</w:t>
      </w:r>
    </w:p>
    <w:p w14:paraId="2F90BC5A" w14:textId="5A58C30F" w:rsidR="00B97703" w:rsidRPr="000605EA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6BE3FD48" w14:textId="2CED0874" w:rsidR="00F92BE8" w:rsidRPr="007B7D7F" w:rsidRDefault="00F92BE8" w:rsidP="00F92BE8">
      <w:pPr>
        <w:jc w:val="both"/>
      </w:pPr>
      <w:r w:rsidRPr="007B7D7F">
        <w:t>In RAN #9</w:t>
      </w:r>
      <w:r>
        <w:t>4-e</w:t>
      </w:r>
      <w:r w:rsidRPr="007B7D7F">
        <w:t xml:space="preserve"> meeting</w:t>
      </w:r>
      <w:r>
        <w:t xml:space="preserve"> [1]</w:t>
      </w:r>
      <w:r w:rsidRPr="007B7D7F">
        <w:t xml:space="preserve">, the </w:t>
      </w:r>
      <w:r w:rsidR="00BB58EA">
        <w:t>W</w:t>
      </w:r>
      <w:r>
        <w:t xml:space="preserve">ID for </w:t>
      </w:r>
      <w:r w:rsidR="006959E4">
        <w:t xml:space="preserve">Rel-18 </w:t>
      </w:r>
      <w:r w:rsidR="00BB58EA">
        <w:t>NR sidelink evolution</w:t>
      </w:r>
      <w:r>
        <w:t xml:space="preserve"> was approved </w:t>
      </w:r>
      <w:r>
        <w:fldChar w:fldCharType="begin"/>
      </w:r>
      <w:r>
        <w:instrText xml:space="preserve"> REF _Ref99625861 \r \h </w:instrText>
      </w:r>
      <w:r>
        <w:fldChar w:fldCharType="separate"/>
      </w:r>
      <w:r w:rsidR="00F75B86">
        <w:t>[2]</w:t>
      </w:r>
      <w:r>
        <w:fldChar w:fldCharType="end"/>
      </w:r>
      <w:r>
        <w:t>. This includes</w:t>
      </w:r>
      <w:r w:rsidR="00883275">
        <w:t xml:space="preserve"> the study and support of</w:t>
      </w:r>
      <w:r>
        <w:t xml:space="preserve"> sidelink </w:t>
      </w:r>
      <w:r w:rsidR="00406FFC">
        <w:t xml:space="preserve">on </w:t>
      </w:r>
      <w:r w:rsidR="00645C67">
        <w:t xml:space="preserve">FR1 </w:t>
      </w:r>
      <w:r w:rsidR="00406FFC">
        <w:t>unlicensed spectrum (SL-U</w:t>
      </w:r>
      <w:r w:rsidR="00200A57">
        <w:t>)</w:t>
      </w:r>
      <w:r>
        <w:t xml:space="preserve"> as shown below.</w:t>
      </w:r>
      <w:r w:rsidR="00F5032A">
        <w:t xml:space="preserve"> In this contribution, we provide potential V2X use cases</w:t>
      </w:r>
      <w:r w:rsidR="00770C9E">
        <w:t xml:space="preserve"> </w:t>
      </w:r>
      <w:r w:rsidR="00F5032A">
        <w:t xml:space="preserve">and requirements for </w:t>
      </w:r>
      <w:r w:rsidR="007B5FCE">
        <w:t>SL-U</w:t>
      </w:r>
      <w:r w:rsidR="00F5032A">
        <w:t>.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2"/>
      </w:tblGrid>
      <w:tr w:rsidR="00EA25A1" w14:paraId="58DE40CA" w14:textId="77777777" w:rsidTr="0011748D">
        <w:trPr>
          <w:trHeight w:val="3960"/>
        </w:trPr>
        <w:tc>
          <w:tcPr>
            <w:tcW w:w="9892" w:type="dxa"/>
            <w:shd w:val="clear" w:color="auto" w:fill="auto"/>
          </w:tcPr>
          <w:p w14:paraId="19D39BFC" w14:textId="77777777" w:rsidR="0011748D" w:rsidRPr="000C32A9" w:rsidRDefault="0011748D" w:rsidP="0011748D">
            <w:pPr>
              <w:spacing w:before="120" w:after="0"/>
              <w:rPr>
                <w:rFonts w:asciiTheme="minorHAnsi" w:hAnsiTheme="minorHAnsi" w:cstheme="minorHAnsi"/>
              </w:rPr>
            </w:pPr>
            <w:r w:rsidRPr="000C32A9">
              <w:rPr>
                <w:rFonts w:asciiTheme="minorHAnsi" w:hAnsiTheme="minorHAnsi" w:cstheme="minorHAnsi"/>
              </w:rPr>
              <w:t xml:space="preserve">To check in RAN#97 for objectives 1 and 3, </w:t>
            </w:r>
            <w:proofErr w:type="gramStart"/>
            <w:r w:rsidRPr="000C32A9">
              <w:rPr>
                <w:rFonts w:asciiTheme="minorHAnsi" w:hAnsiTheme="minorHAnsi" w:cstheme="minorHAnsi"/>
              </w:rPr>
              <w:t>taking into account</w:t>
            </w:r>
            <w:proofErr w:type="gramEnd"/>
            <w:r w:rsidRPr="000C32A9">
              <w:rPr>
                <w:rFonts w:asciiTheme="minorHAnsi" w:hAnsiTheme="minorHAnsi" w:cstheme="minorHAnsi"/>
              </w:rPr>
              <w:t xml:space="preserve"> the progress on objectives 2 and 4, aiming to have specification work for both objective 1 and 3.</w:t>
            </w:r>
          </w:p>
          <w:p w14:paraId="6613BF21" w14:textId="77777777" w:rsidR="0011748D" w:rsidRPr="000C32A9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</w:rPr>
            </w:pPr>
            <w:r w:rsidRPr="000C32A9">
              <w:rPr>
                <w:rFonts w:asciiTheme="minorHAnsi" w:hAnsiTheme="minorHAnsi" w:cstheme="minorHAnsi"/>
              </w:rPr>
              <w:t>Specify mechanism to support NR sidelink CA operation based on LTE sidelink CA operation [RAN2, RAN1, RAN4] (This part of the work is put on hold until further checking in RAN#97)</w:t>
            </w:r>
          </w:p>
          <w:p w14:paraId="1E9831C0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14:paraId="4FB967A5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The work is limited to FR1 licensed spectrum and ITS band in FR1.</w:t>
            </w:r>
          </w:p>
          <w:p w14:paraId="16C9F711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No specific enhancements of Rel-17 sidelink features with sidelink CA support.</w:t>
            </w:r>
          </w:p>
          <w:p w14:paraId="5D17FDA6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This feature is backwards compatible in the following regards</w:t>
            </w:r>
          </w:p>
          <w:p w14:paraId="7C6AA52A" w14:textId="77777777" w:rsidR="0011748D" w:rsidRPr="000C32A9" w:rsidRDefault="0011748D" w:rsidP="0011748D">
            <w:pPr>
              <w:numPr>
                <w:ilvl w:val="1"/>
                <w:numId w:val="13"/>
              </w:numPr>
              <w:spacing w:before="60" w:after="60"/>
              <w:ind w:left="1418" w:hanging="284"/>
              <w:rPr>
                <w:rFonts w:asciiTheme="minorHAnsi" w:hAnsiTheme="minorHAnsi" w:cstheme="minorHAnsi"/>
                <w:lang w:eastAsia="ko-KR"/>
              </w:rPr>
            </w:pPr>
            <w:bookmarkStart w:id="1" w:name="_Hlk89619097"/>
            <w:r w:rsidRPr="000C32A9">
              <w:rPr>
                <w:rFonts w:asciiTheme="minorHAnsi" w:hAnsiTheme="minorHAnsi" w:cstheme="minorHAnsi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0C32A9">
              <w:rPr>
                <w:rFonts w:asciiTheme="minorHAnsi" w:hAnsiTheme="minorHAnsi" w:cstheme="minorHAnsi"/>
                <w:lang w:eastAsia="ko-KR"/>
              </w:rPr>
              <w:t xml:space="preserve"> (when SL-HARQ is enabled in SCI)</w:t>
            </w:r>
          </w:p>
          <w:p w14:paraId="224F30A0" w14:textId="77777777" w:rsidR="0011748D" w:rsidRPr="00994C7F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  <w:highlight w:val="cyan"/>
              </w:rPr>
            </w:pPr>
            <w:r w:rsidRPr="00994C7F">
              <w:rPr>
                <w:rFonts w:asciiTheme="minorHAnsi" w:hAnsiTheme="minorHAnsi" w:cstheme="minorHAnsi"/>
                <w:highlight w:val="cyan"/>
              </w:rPr>
              <w:t xml:space="preserve">Study and specify support of sidelink on unlicensed spectrum for both mode 1 and mode 2 where </w:t>
            </w:r>
            <w:proofErr w:type="spellStart"/>
            <w:r w:rsidRPr="00994C7F">
              <w:rPr>
                <w:rFonts w:asciiTheme="minorHAnsi" w:hAnsiTheme="minorHAnsi" w:cstheme="minorHAnsi"/>
                <w:highlight w:val="cyan"/>
              </w:rPr>
              <w:t>Uu</w:t>
            </w:r>
            <w:proofErr w:type="spellEnd"/>
            <w:r w:rsidRPr="00994C7F">
              <w:rPr>
                <w:rFonts w:asciiTheme="minorHAnsi" w:hAnsiTheme="minorHAnsi" w:cstheme="minorHAnsi"/>
                <w:highlight w:val="cyan"/>
              </w:rPr>
              <w:t xml:space="preserve"> operation for mode 1 is limited to licensed spectrum only [RAN1, RAN2, RAN4]</w:t>
            </w:r>
          </w:p>
          <w:p w14:paraId="5309210C" w14:textId="77777777" w:rsidR="0011748D" w:rsidRPr="00A6785B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A6785B">
              <w:rPr>
                <w:rFonts w:asciiTheme="minorHAnsi" w:hAnsiTheme="minorHAnsi" w:cstheme="minorHAnsi"/>
                <w:lang w:eastAsia="ko-KR"/>
              </w:rPr>
              <w:t>Channel access mechanisms from NR-U shall be reused for sidelink unlicensed operation</w:t>
            </w:r>
          </w:p>
          <w:p w14:paraId="2045A8AC" w14:textId="77777777" w:rsidR="0011748D" w:rsidRPr="00A6785B" w:rsidRDefault="0011748D" w:rsidP="0011748D">
            <w:pPr>
              <w:numPr>
                <w:ilvl w:val="1"/>
                <w:numId w:val="13"/>
              </w:numPr>
              <w:spacing w:before="60" w:after="60"/>
              <w:ind w:left="1418" w:hanging="284"/>
              <w:rPr>
                <w:rFonts w:asciiTheme="minorHAnsi" w:hAnsiTheme="minorHAnsi" w:cstheme="minorHAnsi"/>
                <w:lang w:eastAsia="ko-KR"/>
              </w:rPr>
            </w:pPr>
            <w:bookmarkStart w:id="2" w:name="_Hlk89917081"/>
            <w:r w:rsidRPr="00A6785B">
              <w:rPr>
                <w:rFonts w:asciiTheme="minorHAnsi" w:hAnsiTheme="minorHAnsi" w:cstheme="minorHAnsi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2B6483C3" w14:textId="77777777" w:rsidR="0011748D" w:rsidRPr="00A6785B" w:rsidRDefault="0011748D" w:rsidP="0011748D">
            <w:pPr>
              <w:numPr>
                <w:ilvl w:val="2"/>
                <w:numId w:val="13"/>
              </w:numPr>
              <w:spacing w:before="60" w:after="60"/>
              <w:rPr>
                <w:rFonts w:asciiTheme="minorHAnsi" w:hAnsiTheme="minorHAnsi" w:cstheme="minorHAnsi"/>
                <w:lang w:eastAsia="ko-KR"/>
              </w:rPr>
            </w:pPr>
            <w:r w:rsidRPr="00A6785B">
              <w:rPr>
                <w:rFonts w:asciiTheme="minorHAnsi" w:hAnsiTheme="minorHAnsi" w:cstheme="minorHAnsi"/>
                <w:lang w:eastAsia="ko-KR"/>
              </w:rPr>
              <w:t>No specific enhancements for Rel-17 resource allocation mechanisms</w:t>
            </w:r>
            <w:bookmarkEnd w:id="2"/>
          </w:p>
          <w:p w14:paraId="4A1F88EF" w14:textId="77777777" w:rsidR="0011748D" w:rsidRPr="00A6785B" w:rsidRDefault="0011748D" w:rsidP="0011748D">
            <w:pPr>
              <w:numPr>
                <w:ilvl w:val="2"/>
                <w:numId w:val="13"/>
              </w:numPr>
              <w:spacing w:before="60" w:after="60"/>
              <w:rPr>
                <w:rFonts w:asciiTheme="minorHAnsi" w:hAnsiTheme="minorHAnsi" w:cstheme="minorHAnsi"/>
                <w:highlight w:val="cyan"/>
                <w:lang w:eastAsia="ko-KR"/>
              </w:rPr>
            </w:pPr>
            <w:r w:rsidRPr="00A6785B">
              <w:rPr>
                <w:rFonts w:asciiTheme="minorHAnsi" w:hAnsiTheme="minorHAnsi" w:cstheme="minorHAnsi"/>
                <w:highlight w:val="cyan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36D52266" w14:textId="77777777" w:rsidR="0011748D" w:rsidRPr="00A6785B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bookmarkStart w:id="3" w:name="_Hlk89917101"/>
            <w:r w:rsidRPr="00A6785B">
              <w:rPr>
                <w:rFonts w:asciiTheme="minorHAnsi" w:hAnsiTheme="minorHAnsi" w:cstheme="minorHAnsi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29957A46" w14:textId="77777777" w:rsidR="0011748D" w:rsidRPr="00A6785B" w:rsidRDefault="0011748D" w:rsidP="0011748D">
            <w:pPr>
              <w:numPr>
                <w:ilvl w:val="1"/>
                <w:numId w:val="13"/>
              </w:numPr>
              <w:spacing w:before="60" w:after="60"/>
              <w:ind w:left="1418" w:hanging="284"/>
              <w:rPr>
                <w:rFonts w:asciiTheme="minorHAnsi" w:hAnsiTheme="minorHAnsi" w:cstheme="minorHAnsi"/>
                <w:lang w:eastAsia="ko-KR"/>
              </w:rPr>
            </w:pPr>
            <w:bookmarkStart w:id="4" w:name="_Hlk89917118"/>
            <w:r w:rsidRPr="00A6785B">
              <w:rPr>
                <w:rFonts w:asciiTheme="minorHAnsi" w:hAnsiTheme="minorHAnsi" w:cstheme="minorHAnsi"/>
                <w:lang w:eastAsia="ko-KR"/>
              </w:rPr>
              <w:t xml:space="preserve">The existing NR sidelink and NR-U channel structure shall be reused </w:t>
            </w:r>
            <w:bookmarkEnd w:id="4"/>
            <w:r w:rsidRPr="00A6785B">
              <w:rPr>
                <w:rFonts w:asciiTheme="minorHAnsi" w:hAnsiTheme="minorHAnsi" w:cstheme="minorHAnsi"/>
                <w:lang w:eastAsia="ko-KR"/>
              </w:rPr>
              <w:t>as the baseline.</w:t>
            </w:r>
          </w:p>
          <w:p w14:paraId="66809363" w14:textId="77777777" w:rsidR="0011748D" w:rsidRPr="00A6785B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bookmarkStart w:id="5" w:name="_Hlk89917140"/>
            <w:r w:rsidRPr="00A6785B">
              <w:rPr>
                <w:rFonts w:asciiTheme="minorHAnsi" w:hAnsiTheme="minorHAnsi" w:cstheme="minorHAnsi"/>
                <w:lang w:eastAsia="ko-KR"/>
              </w:rPr>
              <w:t>No specific enhancements for existing NR SL feature</w:t>
            </w:r>
            <w:bookmarkEnd w:id="5"/>
          </w:p>
          <w:p w14:paraId="6DA33380" w14:textId="77777777" w:rsidR="0011748D" w:rsidRPr="00A6785B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r w:rsidRPr="00A6785B">
              <w:rPr>
                <w:rFonts w:asciiTheme="minorHAnsi" w:hAnsiTheme="minorHAnsi" w:cstheme="minorHAnsi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A6785B">
              <w:rPr>
                <w:rFonts w:asciiTheme="minorHAnsi" w:hAnsiTheme="minorHAnsi" w:cstheme="minorHAnsi"/>
                <w:lang w:eastAsia="ko-KR"/>
              </w:rPr>
              <w:t>.</w:t>
            </w:r>
            <w:bookmarkEnd w:id="6"/>
          </w:p>
          <w:p w14:paraId="28FB9CFA" w14:textId="77777777" w:rsidR="0011748D" w:rsidRPr="000C32A9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</w:rPr>
            </w:pPr>
            <w:bookmarkStart w:id="7" w:name="_Hlk89917254"/>
            <w:r w:rsidRPr="000C32A9">
              <w:rPr>
                <w:rFonts w:asciiTheme="minorHAnsi" w:hAnsiTheme="minorHAnsi" w:cstheme="minorHAnsi"/>
                <w:iCs/>
              </w:rPr>
              <w:t>Study and specify enhanced sidelink operation on FR2 licensed spectrum [RAN1, RAN2, RAN4]</w:t>
            </w:r>
            <w:bookmarkEnd w:id="7"/>
            <w:r w:rsidRPr="000C32A9">
              <w:rPr>
                <w:rFonts w:asciiTheme="minorHAnsi" w:hAnsiTheme="minorHAnsi" w:cstheme="minorHAnsi"/>
                <w:iCs/>
              </w:rPr>
              <w:t xml:space="preserve"> (This part of the work is put on hold until further checking in RAN#97)</w:t>
            </w:r>
          </w:p>
          <w:p w14:paraId="57C1F6D0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bookmarkStart w:id="8" w:name="_Hlk89917271"/>
            <w:r w:rsidRPr="000C32A9">
              <w:rPr>
                <w:rFonts w:asciiTheme="minorHAnsi" w:hAnsiTheme="minorHAnsi" w:cstheme="minorHAnsi"/>
                <w:lang w:eastAsia="ko-KR"/>
              </w:rPr>
              <w:t>Update evaluation methodology for commercial deployment scenario</w:t>
            </w:r>
            <w:bookmarkEnd w:id="8"/>
          </w:p>
          <w:p w14:paraId="47267B27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lang w:eastAsia="ko-KR"/>
              </w:rPr>
            </w:pPr>
            <w:bookmarkStart w:id="9" w:name="_Hlk89917283"/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Work is limited to the support of sidelink beam management (including initial beam-pairing, beam maintenance, and beam failure recovery, </w:t>
            </w:r>
            <w:proofErr w:type="spellStart"/>
            <w:r w:rsidRPr="000C32A9">
              <w:rPr>
                <w:rFonts w:asciiTheme="minorHAnsi" w:hAnsiTheme="minorHAnsi" w:cstheme="minorHAnsi"/>
                <w:iCs/>
                <w:lang w:eastAsia="ko-KR"/>
              </w:rPr>
              <w:t>etc</w:t>
            </w:r>
            <w:proofErr w:type="spellEnd"/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) by reusing existing sidelink CSI framework and reusing </w:t>
            </w:r>
            <w:proofErr w:type="spellStart"/>
            <w:r w:rsidRPr="000C32A9">
              <w:rPr>
                <w:rFonts w:asciiTheme="minorHAnsi" w:hAnsiTheme="minorHAnsi" w:cstheme="minorHAnsi"/>
                <w:iCs/>
                <w:lang w:eastAsia="ko-KR"/>
              </w:rPr>
              <w:t>Uu</w:t>
            </w:r>
            <w:proofErr w:type="spellEnd"/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 beam management concepts wherever possible.</w:t>
            </w:r>
            <w:bookmarkEnd w:id="9"/>
          </w:p>
          <w:p w14:paraId="2A4F6F18" w14:textId="77777777" w:rsidR="0011748D" w:rsidRPr="000C32A9" w:rsidRDefault="0011748D" w:rsidP="0011748D">
            <w:pPr>
              <w:numPr>
                <w:ilvl w:val="1"/>
                <w:numId w:val="13"/>
              </w:numPr>
              <w:spacing w:before="60" w:after="60"/>
              <w:rPr>
                <w:rFonts w:asciiTheme="minorHAnsi" w:hAnsiTheme="minorHAnsi" w:cstheme="minorHAnsi"/>
                <w:lang w:eastAsia="ko-KR"/>
              </w:rPr>
            </w:pPr>
            <w:bookmarkStart w:id="10" w:name="_Hlk89917309"/>
            <w:r w:rsidRPr="000C32A9">
              <w:rPr>
                <w:rFonts w:asciiTheme="minorHAnsi" w:hAnsiTheme="minorHAnsi" w:cstheme="minorHAnsi"/>
                <w:lang w:eastAsia="ko-KR"/>
              </w:rPr>
              <w:t>Beam management in FR2 licensed spectrum considers sidelink unicast communication only.</w:t>
            </w:r>
            <w:bookmarkEnd w:id="10"/>
          </w:p>
          <w:p w14:paraId="4465C316" w14:textId="77777777" w:rsidR="0011748D" w:rsidRPr="000C32A9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  <w:iCs/>
              </w:rPr>
            </w:pPr>
            <w:r w:rsidRPr="000C32A9">
              <w:rPr>
                <w:rFonts w:asciiTheme="minorHAnsi" w:hAnsiTheme="minorHAnsi" w:cstheme="minorHAnsi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0EF9F4E4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Reuse the in-device coexistence framework defined in Rel-16 as much as possible</w:t>
            </w:r>
          </w:p>
          <w:p w14:paraId="263496C3" w14:textId="77777777" w:rsidR="0011748D" w:rsidRPr="000C32A9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iCs/>
                <w:lang w:eastAsia="ko-KR"/>
              </w:rPr>
              <w:lastRenderedPageBreak/>
              <w:t>UE Tx and Rx RF requirement for supporting new features introduced in this WI, sidelink frequency bands for single-carrier operation and frequency band combinations for carrier aggregation operation [RAN4]</w:t>
            </w:r>
          </w:p>
          <w:p w14:paraId="4A8878B4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iCs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708B5E44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The exact frequency band combinations for both FR1 </w:t>
            </w:r>
            <w:proofErr w:type="gramStart"/>
            <w:r w:rsidRPr="000C32A9">
              <w:rPr>
                <w:rFonts w:asciiTheme="minorHAnsi" w:hAnsiTheme="minorHAnsi" w:cstheme="minorHAnsi"/>
                <w:iCs/>
                <w:lang w:eastAsia="ko-KR"/>
              </w:rPr>
              <w:t>licensed</w:t>
            </w:r>
            <w:proofErr w:type="gramEnd"/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 and ITS-dedicated spectrum are to be determined based on company input during the WI.</w:t>
            </w:r>
          </w:p>
          <w:p w14:paraId="2DAC3E7B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43E5BE30" w14:textId="77777777" w:rsidR="0011748D" w:rsidRPr="000C32A9" w:rsidRDefault="0011748D" w:rsidP="0011748D">
            <w:pPr>
              <w:numPr>
                <w:ilvl w:val="0"/>
                <w:numId w:val="13"/>
              </w:numPr>
              <w:spacing w:before="60" w:after="60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Support of new sidelink frequency bands and band combinations should ensure coexistence between sidelink and </w:t>
            </w:r>
            <w:proofErr w:type="spellStart"/>
            <w:r w:rsidRPr="000C32A9">
              <w:rPr>
                <w:rFonts w:asciiTheme="minorHAnsi" w:hAnsiTheme="minorHAnsi" w:cstheme="minorHAnsi"/>
                <w:iCs/>
                <w:lang w:eastAsia="ko-KR"/>
              </w:rPr>
              <w:t>Uu</w:t>
            </w:r>
            <w:proofErr w:type="spellEnd"/>
            <w:r w:rsidRPr="000C32A9">
              <w:rPr>
                <w:rFonts w:asciiTheme="minorHAnsi" w:hAnsiTheme="minorHAnsi" w:cstheme="minorHAnsi"/>
                <w:iCs/>
                <w:lang w:eastAsia="ko-KR"/>
              </w:rPr>
              <w:t xml:space="preserve"> interface in the same and adjacent channels in licensed spectrum.</w:t>
            </w:r>
          </w:p>
          <w:p w14:paraId="5FBE188B" w14:textId="77777777" w:rsidR="0011748D" w:rsidRPr="000C32A9" w:rsidRDefault="0011748D" w:rsidP="0011748D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Theme="minorHAnsi" w:hAnsiTheme="minorHAnsi" w:cstheme="minorHAnsi"/>
                <w:iCs/>
                <w:lang w:eastAsia="ko-KR"/>
              </w:rPr>
            </w:pPr>
            <w:r w:rsidRPr="000C32A9">
              <w:rPr>
                <w:rFonts w:asciiTheme="minorHAnsi" w:hAnsiTheme="minorHAnsi" w:cstheme="minorHAnsi"/>
                <w:iCs/>
                <w:lang w:eastAsia="ko-KR"/>
              </w:rPr>
              <w:t>UE RRM core requirement for the new features introduced in this WI [RAN4]</w:t>
            </w:r>
          </w:p>
          <w:p w14:paraId="1AC075EC" w14:textId="77777777" w:rsidR="0011748D" w:rsidRPr="000C32A9" w:rsidRDefault="0011748D" w:rsidP="0011748D">
            <w:pPr>
              <w:spacing w:before="120" w:after="0"/>
              <w:rPr>
                <w:rFonts w:asciiTheme="minorHAnsi" w:hAnsiTheme="minorHAnsi" w:cstheme="minorHAnsi"/>
                <w:iCs/>
                <w:lang w:eastAsia="ko-KR"/>
              </w:rPr>
            </w:pPr>
          </w:p>
          <w:p w14:paraId="7CE42EA4" w14:textId="65098AA6" w:rsidR="00F92BE8" w:rsidRPr="0011748D" w:rsidRDefault="0011748D" w:rsidP="0011748D">
            <w:pPr>
              <w:spacing w:after="0"/>
            </w:pPr>
            <w:r w:rsidRPr="000C32A9">
              <w:rPr>
                <w:rFonts w:asciiTheme="minorHAnsi" w:hAnsiTheme="minorHAnsi" w:cstheme="minorHAnsi"/>
              </w:rPr>
              <w:t>Rel-18 sidelink should be able to coexist with Rel-16/17 sidelink in the same resource pool. This does not preclude the possibility of operating Rel-18 sidelink in a dedicated resource pool.</w:t>
            </w:r>
          </w:p>
        </w:tc>
      </w:tr>
    </w:tbl>
    <w:p w14:paraId="61685EEC" w14:textId="55F08A14" w:rsidR="00F92BE8" w:rsidRDefault="00F92BE8" w:rsidP="00F92BE8">
      <w:pPr>
        <w:jc w:val="both"/>
      </w:pPr>
    </w:p>
    <w:p w14:paraId="47BE0AB6" w14:textId="116DFD6B" w:rsidR="00C75820" w:rsidRDefault="00C75820" w:rsidP="00C75820">
      <w:pPr>
        <w:pStyle w:val="Heading1"/>
        <w:rPr>
          <w:lang w:val="en-US"/>
        </w:rPr>
      </w:pPr>
      <w:r w:rsidRPr="00C75820">
        <w:rPr>
          <w:lang w:val="en-US"/>
        </w:rPr>
        <w:t>V2X use cases</w:t>
      </w:r>
      <w:r w:rsidR="00545BF8">
        <w:rPr>
          <w:lang w:val="en-US"/>
        </w:rPr>
        <w:t xml:space="preserve"> </w:t>
      </w:r>
      <w:r w:rsidRPr="00C75820">
        <w:rPr>
          <w:lang w:val="en-US"/>
        </w:rPr>
        <w:t xml:space="preserve">and requirements for </w:t>
      </w:r>
      <w:r w:rsidR="00725C13">
        <w:rPr>
          <w:lang w:val="en-US"/>
        </w:rPr>
        <w:t>SL-U</w:t>
      </w:r>
    </w:p>
    <w:p w14:paraId="207D165D" w14:textId="139F68F6" w:rsidR="00C75820" w:rsidRDefault="00C75820" w:rsidP="00C75820">
      <w:pPr>
        <w:pStyle w:val="Heading2"/>
        <w:rPr>
          <w:lang w:val="en-US"/>
        </w:rPr>
      </w:pPr>
      <w:r w:rsidRPr="00C75820">
        <w:rPr>
          <w:lang w:val="en-US"/>
        </w:rPr>
        <w:t xml:space="preserve">V2X </w:t>
      </w:r>
      <w:r w:rsidR="00D04005">
        <w:rPr>
          <w:lang w:val="en-US"/>
        </w:rPr>
        <w:t>use cases</w:t>
      </w:r>
      <w:r w:rsidR="0092147D">
        <w:rPr>
          <w:lang w:val="en-US"/>
        </w:rPr>
        <w:t xml:space="preserve"> for SL-U</w:t>
      </w:r>
    </w:p>
    <w:p w14:paraId="4F1F3DA9" w14:textId="2CA020A1" w:rsidR="00AA03DC" w:rsidRDefault="006624D1" w:rsidP="00E50648">
      <w:pPr>
        <w:jc w:val="both"/>
      </w:pPr>
      <w:r>
        <w:t xml:space="preserve">In this section, we provide potential V2X use cases for </w:t>
      </w:r>
      <w:r w:rsidR="009C5FE4">
        <w:t>SL-U</w:t>
      </w:r>
      <w:r>
        <w:t>.</w:t>
      </w:r>
      <w:r w:rsidR="007D450D">
        <w:t xml:space="preserve"> In some regions/countries, only</w:t>
      </w:r>
      <w:r w:rsidR="00B209EB">
        <w:t xml:space="preserve"> a</w:t>
      </w:r>
      <w:r w:rsidR="007D450D">
        <w:t xml:space="preserve"> limited ITS spectrum is allocated. For example, in the U.S., only 30 MHz is allocated for </w:t>
      </w:r>
      <w:r w:rsidR="00B209EB">
        <w:t xml:space="preserve">the </w:t>
      </w:r>
      <w:r w:rsidR="007D450D">
        <w:t>5.9 GHz ITS spectrum.</w:t>
      </w:r>
      <w:r w:rsidR="00D07A32">
        <w:t xml:space="preserve"> </w:t>
      </w:r>
      <w:r w:rsidR="004E2770">
        <w:t>S</w:t>
      </w:r>
      <w:r w:rsidR="00D07A32">
        <w:t xml:space="preserve">uch </w:t>
      </w:r>
      <w:r w:rsidR="004E2770">
        <w:t xml:space="preserve">a </w:t>
      </w:r>
      <w:r w:rsidR="00D07A32">
        <w:t>limited ITS spectrum</w:t>
      </w:r>
      <w:r w:rsidR="007D450D">
        <w:t xml:space="preserve"> is not enough to support all V2X applications</w:t>
      </w:r>
      <w:r w:rsidR="00F75B86">
        <w:t xml:space="preserve"> </w:t>
      </w:r>
      <w:r w:rsidR="00F75B86">
        <w:fldChar w:fldCharType="begin"/>
      </w:r>
      <w:r w:rsidR="00F75B86">
        <w:instrText xml:space="preserve"> REF _Ref100846475 \r \h </w:instrText>
      </w:r>
      <w:r w:rsidR="00F75B86">
        <w:fldChar w:fldCharType="separate"/>
      </w:r>
      <w:r w:rsidR="00F75B86">
        <w:t>[3]</w:t>
      </w:r>
      <w:r w:rsidR="00F75B86">
        <w:fldChar w:fldCharType="end"/>
      </w:r>
      <w:r w:rsidR="007D450D">
        <w:t xml:space="preserve">. </w:t>
      </w:r>
      <w:r w:rsidR="00736C98">
        <w:t xml:space="preserve">The use of </w:t>
      </w:r>
      <w:r w:rsidR="00324C3E">
        <w:t>an</w:t>
      </w:r>
      <w:r w:rsidR="0064653B">
        <w:t xml:space="preserve"> </w:t>
      </w:r>
      <w:r w:rsidR="00736C98">
        <w:t xml:space="preserve">unlicensed spectrum for V2X sidelink communication would be useful for some V2X applications that are robust to </w:t>
      </w:r>
      <w:r w:rsidR="00DC002F">
        <w:t>packet loss</w:t>
      </w:r>
      <w:r w:rsidR="000A0FA3">
        <w:t xml:space="preserve"> and</w:t>
      </w:r>
      <w:r w:rsidR="00DC002F">
        <w:t xml:space="preserve"> increased latency</w:t>
      </w:r>
      <w:r w:rsidR="000A0FA3">
        <w:t xml:space="preserve"> due to harmful interference</w:t>
      </w:r>
      <w:r w:rsidR="00736C98">
        <w:t xml:space="preserve"> from other unlicensed devices</w:t>
      </w:r>
      <w:r w:rsidR="00C162B3">
        <w:t>, particularly when</w:t>
      </w:r>
      <w:r w:rsidR="0077236F">
        <w:t xml:space="preserve"> the</w:t>
      </w:r>
      <w:r w:rsidR="00572539">
        <w:t xml:space="preserve"> available</w:t>
      </w:r>
      <w:r w:rsidR="00C162B3">
        <w:t xml:space="preserve"> ITS spectrum is limited</w:t>
      </w:r>
      <w:r w:rsidR="00736C98">
        <w:t>.</w:t>
      </w:r>
      <w:r w:rsidR="00C27DDD">
        <w:t xml:space="preserve"> </w:t>
      </w:r>
      <w:r w:rsidR="007B3106">
        <w:t xml:space="preserve">Potential V2X use cases for SL-U </w:t>
      </w:r>
      <w:r w:rsidR="001B53D9">
        <w:t xml:space="preserve">can </w:t>
      </w:r>
      <w:r w:rsidR="007B3106">
        <w:t>include</w:t>
      </w:r>
      <w:r w:rsidR="00E526A6">
        <w:t xml:space="preserve"> but </w:t>
      </w:r>
      <w:r w:rsidR="00B209EB">
        <w:t xml:space="preserve">are </w:t>
      </w:r>
      <w:r w:rsidR="00E526A6">
        <w:t>not limited to</w:t>
      </w:r>
      <w:r w:rsidR="007B3106">
        <w:t>:</w:t>
      </w:r>
    </w:p>
    <w:p w14:paraId="6C54C3A9" w14:textId="59A2BD19" w:rsidR="00F07D91" w:rsidRPr="005B35C0" w:rsidRDefault="00F07D91" w:rsidP="0078780B">
      <w:pPr>
        <w:numPr>
          <w:ilvl w:val="0"/>
          <w:numId w:val="17"/>
        </w:numPr>
        <w:jc w:val="both"/>
        <w:rPr>
          <w:b/>
          <w:bCs/>
        </w:rPr>
      </w:pPr>
      <w:r w:rsidRPr="005B35C0">
        <w:rPr>
          <w:b/>
          <w:bCs/>
        </w:rPr>
        <w:t>Sidelink Positioning Reference Signal (SL-PRS) transmission</w:t>
      </w:r>
      <w:r w:rsidR="00156465" w:rsidRPr="005B35C0">
        <w:rPr>
          <w:b/>
          <w:bCs/>
        </w:rPr>
        <w:t>:</w:t>
      </w:r>
    </w:p>
    <w:p w14:paraId="5A4AFFF9" w14:textId="0FCCFFB2" w:rsidR="00651CB0" w:rsidRPr="00C26B69" w:rsidRDefault="00B8416D" w:rsidP="00822952">
      <w:pPr>
        <w:numPr>
          <w:ilvl w:val="1"/>
          <w:numId w:val="17"/>
        </w:numPr>
        <w:jc w:val="both"/>
        <w:rPr>
          <w:lang w:val="en-GB"/>
        </w:rPr>
      </w:pPr>
      <w:r>
        <w:t>Precise sidelink positioning requires a large amount of bandwidth. However, some regions</w:t>
      </w:r>
      <w:r w:rsidR="008E0B28">
        <w:t>/countries</w:t>
      </w:r>
      <w:r w:rsidR="00622B80">
        <w:t xml:space="preserve"> </w:t>
      </w:r>
      <w:r w:rsidR="008E0B28">
        <w:t>may</w:t>
      </w:r>
      <w:r>
        <w:t xml:space="preserve"> </w:t>
      </w:r>
      <w:r w:rsidR="008E0B28">
        <w:t xml:space="preserve">not have </w:t>
      </w:r>
      <w:r w:rsidR="00FB0736">
        <w:t>enough bandwidth</w:t>
      </w:r>
      <w:r w:rsidR="002960BE">
        <w:t xml:space="preserve"> in</w:t>
      </w:r>
      <w:r w:rsidR="00B209EB">
        <w:t xml:space="preserve"> the</w:t>
      </w:r>
      <w:r w:rsidR="002960BE">
        <w:t xml:space="preserve"> ITS spectrum</w:t>
      </w:r>
      <w:r w:rsidR="00FB0736">
        <w:t xml:space="preserve"> </w:t>
      </w:r>
      <w:r w:rsidR="004D746B">
        <w:t>for precise sidelink positioning</w:t>
      </w:r>
      <w:r w:rsidR="00FB0736">
        <w:t>.</w:t>
      </w:r>
      <w:r w:rsidR="004A01E0">
        <w:t xml:space="preserve"> </w:t>
      </w:r>
      <w:r w:rsidR="007C62EF">
        <w:t xml:space="preserve">Also, </w:t>
      </w:r>
      <w:r w:rsidR="008C0E05">
        <w:t>MNO licensed spectrum cannot be used in out-of-coverage scenarios.</w:t>
      </w:r>
      <w:r>
        <w:t xml:space="preserve"> </w:t>
      </w:r>
      <w:r w:rsidR="00571D5A">
        <w:t>In that case, the use of</w:t>
      </w:r>
      <w:r w:rsidR="00B209EB">
        <w:t xml:space="preserve"> an</w:t>
      </w:r>
      <w:r w:rsidR="00571D5A">
        <w:t xml:space="preserve"> unlicensed spectrum for SL-PRS transmission</w:t>
      </w:r>
      <w:r w:rsidR="00707ABC">
        <w:t xml:space="preserve"> for sidelink positioning</w:t>
      </w:r>
      <w:r w:rsidR="00571D5A">
        <w:t xml:space="preserve"> </w:t>
      </w:r>
      <w:r w:rsidR="00F526F1">
        <w:t>can</w:t>
      </w:r>
      <w:r w:rsidR="00651CB0">
        <w:t xml:space="preserve"> be considered.</w:t>
      </w:r>
      <w:r w:rsidR="00822952">
        <w:t xml:space="preserve"> </w:t>
      </w:r>
      <w:r w:rsidR="00651CB0">
        <w:t xml:space="preserve">In fact, in the </w:t>
      </w:r>
      <w:r w:rsidR="00DA7D5E" w:rsidRPr="00DA7D5E">
        <w:t>SI for Rel-18 study on expanded and improved NR positioning</w:t>
      </w:r>
      <w:r w:rsidR="00F74EA0">
        <w:t xml:space="preserve"> </w:t>
      </w:r>
      <w:r w:rsidR="00E25AC0">
        <w:fldChar w:fldCharType="begin"/>
      </w:r>
      <w:r w:rsidR="00E25AC0">
        <w:instrText xml:space="preserve"> REF _Ref100576736 \r \h </w:instrText>
      </w:r>
      <w:r w:rsidR="00E25AC0">
        <w:fldChar w:fldCharType="separate"/>
      </w:r>
      <w:r w:rsidR="00F75B86">
        <w:t>[4]</w:t>
      </w:r>
      <w:r w:rsidR="00E25AC0">
        <w:fldChar w:fldCharType="end"/>
      </w:r>
      <w:r w:rsidR="00DA7D5E">
        <w:t xml:space="preserve">, </w:t>
      </w:r>
      <w:r w:rsidR="005F55EF">
        <w:t>it was agreed that “</w:t>
      </w:r>
      <w:r w:rsidR="00C912F5">
        <w:t>the bandwidth requirements</w:t>
      </w:r>
      <w:r w:rsidR="00081D23">
        <w:t xml:space="preserve"> for sidelink positioning</w:t>
      </w:r>
      <w:r w:rsidR="00C912F5">
        <w:t xml:space="preserve"> will be evaluated, and </w:t>
      </w:r>
      <w:r w:rsidR="00822952" w:rsidRPr="00822952">
        <w:rPr>
          <w:bCs/>
        </w:rPr>
        <w:t xml:space="preserve">when the bandwidth requirements have been determined and the study of sidelink communication in </w:t>
      </w:r>
      <w:r w:rsidR="00B209EB">
        <w:rPr>
          <w:bCs/>
        </w:rPr>
        <w:t xml:space="preserve">the </w:t>
      </w:r>
      <w:r w:rsidR="00822952" w:rsidRPr="00822952">
        <w:rPr>
          <w:bCs/>
        </w:rPr>
        <w:t>unlicensed spectrum has progressed, it can be reviewed whether unlicensed spectrum can be considered.</w:t>
      </w:r>
      <w:r w:rsidR="005F55EF">
        <w:t>”</w:t>
      </w:r>
    </w:p>
    <w:p w14:paraId="4C668CAA" w14:textId="734E745C" w:rsidR="00C26B69" w:rsidRPr="005875DC" w:rsidRDefault="00C26B69" w:rsidP="00822952">
      <w:pPr>
        <w:numPr>
          <w:ilvl w:val="1"/>
          <w:numId w:val="17"/>
        </w:numPr>
        <w:jc w:val="both"/>
        <w:rPr>
          <w:lang w:val="en-GB"/>
        </w:rPr>
      </w:pPr>
      <w:r>
        <w:rPr>
          <w:bCs/>
        </w:rPr>
        <w:t>V2V, V2I, V2P/VRU communications</w:t>
      </w:r>
    </w:p>
    <w:p w14:paraId="1350EB71" w14:textId="77777777" w:rsidR="00A84CEF" w:rsidRDefault="00A84CEF" w:rsidP="00A84CEF">
      <w:pPr>
        <w:numPr>
          <w:ilvl w:val="1"/>
          <w:numId w:val="17"/>
        </w:numPr>
        <w:jc w:val="both"/>
      </w:pPr>
      <w:r>
        <w:t>Broadcast, groupcast, unicast</w:t>
      </w:r>
    </w:p>
    <w:p w14:paraId="2219B928" w14:textId="3B8B9780" w:rsidR="00797795" w:rsidRDefault="00797795" w:rsidP="00E50648">
      <w:pPr>
        <w:jc w:val="both"/>
      </w:pPr>
    </w:p>
    <w:p w14:paraId="38D5D535" w14:textId="0216D428" w:rsidR="008968DD" w:rsidRDefault="00A6756A" w:rsidP="008968DD">
      <w:pPr>
        <w:jc w:val="center"/>
      </w:pPr>
      <w:r w:rsidRPr="00A6756A">
        <w:rPr>
          <w:noProof/>
        </w:rPr>
        <w:drawing>
          <wp:inline distT="0" distB="0" distL="0" distR="0" wp14:anchorId="40D5BB07" wp14:editId="2FA4CA10">
            <wp:extent cx="2447778" cy="94528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1596" cy="95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BE028" w14:textId="06CE5298" w:rsidR="00AC40E9" w:rsidRDefault="004775B8" w:rsidP="00AC40E9">
      <w:pPr>
        <w:numPr>
          <w:ilvl w:val="0"/>
          <w:numId w:val="18"/>
        </w:numPr>
        <w:ind w:left="851" w:hanging="851"/>
        <w:jc w:val="center"/>
      </w:pPr>
      <w:bookmarkStart w:id="11" w:name="_Ref100328246"/>
      <w:r>
        <w:rPr>
          <w:bCs/>
          <w:iCs/>
        </w:rPr>
        <w:t>SL-PRS transmission</w:t>
      </w:r>
      <w:r w:rsidR="00AC40E9">
        <w:rPr>
          <w:bCs/>
          <w:iCs/>
        </w:rPr>
        <w:t xml:space="preserve"> </w:t>
      </w:r>
      <w:r>
        <w:rPr>
          <w:bCs/>
          <w:iCs/>
        </w:rPr>
        <w:t xml:space="preserve">using </w:t>
      </w:r>
      <w:r w:rsidR="00AC40E9">
        <w:rPr>
          <w:bCs/>
          <w:iCs/>
        </w:rPr>
        <w:t>SL-U</w:t>
      </w:r>
      <w:r w:rsidR="00AC40E9">
        <w:t>.</w:t>
      </w:r>
      <w:bookmarkEnd w:id="11"/>
    </w:p>
    <w:p w14:paraId="32415738" w14:textId="77777777" w:rsidR="00AC40E9" w:rsidRDefault="00AC40E9" w:rsidP="00E50648">
      <w:pPr>
        <w:jc w:val="both"/>
      </w:pPr>
    </w:p>
    <w:p w14:paraId="03A4DC42" w14:textId="60580616" w:rsidR="00913011" w:rsidRPr="003B6D07" w:rsidRDefault="00813A01" w:rsidP="00913011">
      <w:pPr>
        <w:numPr>
          <w:ilvl w:val="0"/>
          <w:numId w:val="15"/>
        </w:numPr>
        <w:tabs>
          <w:tab w:val="left" w:pos="1134"/>
        </w:tabs>
        <w:ind w:left="0" w:firstLine="0"/>
        <w:jc w:val="both"/>
        <w:rPr>
          <w:b/>
          <w:iCs/>
          <w:lang w:val="en-GB"/>
        </w:rPr>
      </w:pPr>
      <w:r>
        <w:rPr>
          <w:b/>
          <w:iCs/>
        </w:rPr>
        <w:t xml:space="preserve">The following </w:t>
      </w:r>
      <w:r w:rsidR="003B2F8C">
        <w:rPr>
          <w:b/>
          <w:iCs/>
        </w:rPr>
        <w:t xml:space="preserve">UE types and </w:t>
      </w:r>
      <w:r>
        <w:rPr>
          <w:b/>
          <w:iCs/>
        </w:rPr>
        <w:t xml:space="preserve">V2X communication </w:t>
      </w:r>
      <w:r w:rsidR="00A60D1E">
        <w:rPr>
          <w:b/>
          <w:iCs/>
        </w:rPr>
        <w:t>types</w:t>
      </w:r>
      <w:r>
        <w:rPr>
          <w:b/>
          <w:iCs/>
        </w:rPr>
        <w:t xml:space="preserve"> are supported:</w:t>
      </w:r>
    </w:p>
    <w:p w14:paraId="29D7F8EA" w14:textId="1FFFD7A7" w:rsidR="00E83407" w:rsidRDefault="005A46F5" w:rsidP="003B6D07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Vehicle-type UE</w:t>
      </w:r>
      <w:r w:rsidR="001A646C">
        <w:rPr>
          <w:rFonts w:ascii="Times New Roman" w:hAnsi="Times New Roman"/>
          <w:b/>
          <w:iCs/>
          <w:sz w:val="20"/>
          <w:szCs w:val="20"/>
        </w:rPr>
        <w:t>s</w:t>
      </w:r>
      <w:r>
        <w:rPr>
          <w:rFonts w:ascii="Times New Roman" w:hAnsi="Times New Roman"/>
          <w:b/>
          <w:iCs/>
          <w:sz w:val="20"/>
          <w:szCs w:val="20"/>
        </w:rPr>
        <w:t>, RSU-type UE</w:t>
      </w:r>
      <w:r w:rsidR="001A646C">
        <w:rPr>
          <w:rFonts w:ascii="Times New Roman" w:hAnsi="Times New Roman"/>
          <w:b/>
          <w:iCs/>
          <w:sz w:val="20"/>
          <w:szCs w:val="20"/>
        </w:rPr>
        <w:t>s</w:t>
      </w:r>
      <w:r>
        <w:rPr>
          <w:rFonts w:ascii="Times New Roman" w:hAnsi="Times New Roman"/>
          <w:b/>
          <w:iCs/>
          <w:sz w:val="20"/>
          <w:szCs w:val="20"/>
        </w:rPr>
        <w:t>, VRU-type UE</w:t>
      </w:r>
      <w:r w:rsidR="001A646C">
        <w:rPr>
          <w:rFonts w:ascii="Times New Roman" w:hAnsi="Times New Roman"/>
          <w:b/>
          <w:iCs/>
          <w:sz w:val="20"/>
          <w:szCs w:val="20"/>
        </w:rPr>
        <w:t>s</w:t>
      </w:r>
    </w:p>
    <w:p w14:paraId="614474CD" w14:textId="59624402" w:rsidR="003B6D07" w:rsidRDefault="003B6D07" w:rsidP="003B6D07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3B6D07">
        <w:rPr>
          <w:rFonts w:ascii="Times New Roman" w:hAnsi="Times New Roman"/>
          <w:b/>
          <w:iCs/>
          <w:sz w:val="20"/>
          <w:szCs w:val="20"/>
        </w:rPr>
        <w:t>V2V, V2I, V2P/VRU communications</w:t>
      </w:r>
    </w:p>
    <w:p w14:paraId="5CAF0E93" w14:textId="74817175" w:rsidR="00486AC4" w:rsidRDefault="00F5540F" w:rsidP="003B6D07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F5540F">
        <w:rPr>
          <w:rFonts w:ascii="Times New Roman" w:hAnsi="Times New Roman"/>
          <w:b/>
          <w:iCs/>
          <w:sz w:val="20"/>
          <w:szCs w:val="20"/>
        </w:rPr>
        <w:lastRenderedPageBreak/>
        <w:t>Broadcast, groupcast, unicast</w:t>
      </w:r>
    </w:p>
    <w:p w14:paraId="26929AAC" w14:textId="77777777" w:rsidR="003B6D07" w:rsidRPr="003B6D07" w:rsidRDefault="003B6D07" w:rsidP="00913011">
      <w:pPr>
        <w:tabs>
          <w:tab w:val="left" w:pos="1134"/>
        </w:tabs>
        <w:jc w:val="both"/>
        <w:rPr>
          <w:b/>
          <w:iCs/>
        </w:rPr>
      </w:pPr>
    </w:p>
    <w:p w14:paraId="429A19B7" w14:textId="06975A71" w:rsidR="0092147D" w:rsidRDefault="0092147D" w:rsidP="0092147D">
      <w:pPr>
        <w:pStyle w:val="Heading2"/>
        <w:rPr>
          <w:lang w:val="en-US"/>
        </w:rPr>
      </w:pPr>
      <w:r w:rsidRPr="00C75820">
        <w:rPr>
          <w:lang w:val="en-US"/>
        </w:rPr>
        <w:t xml:space="preserve">V2X </w:t>
      </w:r>
      <w:r>
        <w:rPr>
          <w:lang w:val="en-US"/>
        </w:rPr>
        <w:t>requirements for SL-U</w:t>
      </w:r>
    </w:p>
    <w:p w14:paraId="5B9C040C" w14:textId="779565A6" w:rsidR="001602D6" w:rsidRDefault="0092147D" w:rsidP="0092147D">
      <w:pPr>
        <w:jc w:val="both"/>
      </w:pPr>
      <w:r>
        <w:t>In this section, we provide potential V2X requirements for SL-U</w:t>
      </w:r>
      <w:r w:rsidR="0024285E">
        <w:t xml:space="preserve">. </w:t>
      </w:r>
      <w:r w:rsidR="00694CD4">
        <w:t>V2X scenarios</w:t>
      </w:r>
      <w:r w:rsidR="007B1F6B">
        <w:t>/use cases</w:t>
      </w:r>
      <w:r w:rsidR="00694CD4">
        <w:t xml:space="preserve"> have unique </w:t>
      </w:r>
      <w:r w:rsidR="00320B4F">
        <w:t>aspects</w:t>
      </w:r>
      <w:r w:rsidR="00694CD4">
        <w:t xml:space="preserve"> and requirements</w:t>
      </w:r>
      <w:r w:rsidR="00125B20">
        <w:t xml:space="preserve"> (e.g., mobility</w:t>
      </w:r>
      <w:r w:rsidR="00767CEB">
        <w:t>)</w:t>
      </w:r>
      <w:r w:rsidR="00694CD4">
        <w:t xml:space="preserve">, compared with </w:t>
      </w:r>
      <w:r w:rsidR="002B0D39">
        <w:t>scenarios</w:t>
      </w:r>
      <w:r w:rsidR="007D5275">
        <w:t xml:space="preserve"> and use cases</w:t>
      </w:r>
      <w:r w:rsidR="002B0D39">
        <w:t xml:space="preserve"> in </w:t>
      </w:r>
      <w:r w:rsidR="005E6238">
        <w:t xml:space="preserve">LTE </w:t>
      </w:r>
      <w:r w:rsidR="002B0D39">
        <w:t>LAA/NR-U.</w:t>
      </w:r>
      <w:r w:rsidR="00767CEB">
        <w:t xml:space="preserve"> Therefore, the following requirements </w:t>
      </w:r>
      <w:r w:rsidR="00A22F4A">
        <w:t xml:space="preserve">need to be </w:t>
      </w:r>
      <w:r w:rsidR="003D3371">
        <w:t>supported</w:t>
      </w:r>
      <w:r w:rsidR="00A22F4A">
        <w:t xml:space="preserve"> for SL-U in V2X scenarios:</w:t>
      </w:r>
    </w:p>
    <w:p w14:paraId="51B155A2" w14:textId="77777777" w:rsidR="00E75E92" w:rsidRPr="00A00C39" w:rsidRDefault="00E75E92" w:rsidP="00E75E92">
      <w:pPr>
        <w:numPr>
          <w:ilvl w:val="0"/>
          <w:numId w:val="20"/>
        </w:numPr>
        <w:jc w:val="both"/>
        <w:rPr>
          <w:b/>
          <w:iCs/>
        </w:rPr>
      </w:pPr>
      <w:r w:rsidRPr="00A00C39">
        <w:rPr>
          <w:b/>
          <w:iCs/>
        </w:rPr>
        <w:t>Enough communication range (e.g., &gt; 300</w:t>
      </w:r>
      <w:r>
        <w:rPr>
          <w:b/>
          <w:iCs/>
        </w:rPr>
        <w:t xml:space="preserve"> </w:t>
      </w:r>
      <w:r w:rsidRPr="00A00C39">
        <w:rPr>
          <w:b/>
          <w:iCs/>
        </w:rPr>
        <w:t>m):</w:t>
      </w:r>
    </w:p>
    <w:p w14:paraId="1B2F0E82" w14:textId="73F9D61E" w:rsidR="00E75E92" w:rsidRDefault="00E75E92" w:rsidP="00E75E92">
      <w:pPr>
        <w:numPr>
          <w:ilvl w:val="1"/>
          <w:numId w:val="20"/>
        </w:numPr>
        <w:jc w:val="both"/>
        <w:rPr>
          <w:bCs/>
          <w:iCs/>
        </w:rPr>
      </w:pPr>
      <w:r>
        <w:rPr>
          <w:bCs/>
          <w:iCs/>
        </w:rPr>
        <w:t>V2X use cases</w:t>
      </w:r>
      <w:r w:rsidR="00283B4F">
        <w:rPr>
          <w:bCs/>
          <w:iCs/>
        </w:rPr>
        <w:t xml:space="preserve"> using sidelink positioning</w:t>
      </w:r>
      <w:r>
        <w:rPr>
          <w:bCs/>
          <w:iCs/>
        </w:rPr>
        <w:t xml:space="preserve"> require enough communication range (e.g., &gt; 300 m)</w:t>
      </w:r>
      <w:r w:rsidR="00572746">
        <w:rPr>
          <w:bCs/>
          <w:iCs/>
        </w:rPr>
        <w:t xml:space="preserve"> </w:t>
      </w:r>
      <w:r w:rsidR="00572746">
        <w:rPr>
          <w:bCs/>
          <w:iCs/>
        </w:rPr>
        <w:fldChar w:fldCharType="begin"/>
      </w:r>
      <w:r w:rsidR="00572746">
        <w:rPr>
          <w:bCs/>
          <w:iCs/>
        </w:rPr>
        <w:instrText xml:space="preserve"> REF _Ref101949123 \r \h </w:instrText>
      </w:r>
      <w:r w:rsidR="00572746">
        <w:rPr>
          <w:bCs/>
          <w:iCs/>
        </w:rPr>
      </w:r>
      <w:r w:rsidR="00572746">
        <w:rPr>
          <w:bCs/>
          <w:iCs/>
        </w:rPr>
        <w:fldChar w:fldCharType="separate"/>
      </w:r>
      <w:r w:rsidR="00572746">
        <w:rPr>
          <w:bCs/>
          <w:iCs/>
        </w:rPr>
        <w:t>[5]</w:t>
      </w:r>
      <w:r w:rsidR="00572746">
        <w:rPr>
          <w:bCs/>
          <w:iCs/>
        </w:rPr>
        <w:fldChar w:fldCharType="end"/>
      </w:r>
      <w:r>
        <w:rPr>
          <w:bCs/>
          <w:iCs/>
        </w:rPr>
        <w:t>. Therefore, we need to ensure enough communication range.</w:t>
      </w:r>
    </w:p>
    <w:p w14:paraId="28A16315" w14:textId="77777777" w:rsidR="00C95206" w:rsidRPr="00A00C39" w:rsidRDefault="00C95206" w:rsidP="00C95206">
      <w:pPr>
        <w:numPr>
          <w:ilvl w:val="0"/>
          <w:numId w:val="20"/>
        </w:numPr>
        <w:jc w:val="both"/>
        <w:rPr>
          <w:b/>
          <w:iCs/>
        </w:rPr>
      </w:pPr>
      <w:r w:rsidRPr="00A00C39">
        <w:rPr>
          <w:b/>
          <w:iCs/>
        </w:rPr>
        <w:t>Efficient use of radio resources:</w:t>
      </w:r>
    </w:p>
    <w:p w14:paraId="5262EC47" w14:textId="4CFF3FA1" w:rsidR="00C95206" w:rsidRDefault="15C1592D" w:rsidP="00C95206">
      <w:pPr>
        <w:numPr>
          <w:ilvl w:val="1"/>
          <w:numId w:val="20"/>
        </w:numPr>
        <w:jc w:val="both"/>
      </w:pPr>
      <w:r>
        <w:t>P</w:t>
      </w:r>
      <w:r w:rsidR="4FE06ECD">
        <w:t>recise sidelink positioning require a large amount of bandwidth</w:t>
      </w:r>
      <w:r w:rsidR="5892DB8C">
        <w:t>. However,</w:t>
      </w:r>
      <w:r w:rsidR="4FE06ECD">
        <w:t xml:space="preserve"> the radio resources are limited, particularly in congested scenarios. Therefore, we need techniques </w:t>
      </w:r>
      <w:r w:rsidR="16E5EB6E">
        <w:t>that</w:t>
      </w:r>
      <w:r w:rsidR="4FE06ECD">
        <w:t xml:space="preserve"> efficiently use radio resources.</w:t>
      </w:r>
    </w:p>
    <w:p w14:paraId="10D6A8BA" w14:textId="5AEC1A39" w:rsidR="0061788B" w:rsidRPr="00457278" w:rsidRDefault="00EF3F10" w:rsidP="0061788B">
      <w:pPr>
        <w:numPr>
          <w:ilvl w:val="0"/>
          <w:numId w:val="20"/>
        </w:numPr>
        <w:jc w:val="both"/>
        <w:rPr>
          <w:b/>
          <w:iCs/>
        </w:rPr>
      </w:pPr>
      <w:r>
        <w:rPr>
          <w:b/>
          <w:iCs/>
        </w:rPr>
        <w:t>Support of high mobility</w:t>
      </w:r>
      <w:r w:rsidR="00350F90">
        <w:rPr>
          <w:b/>
          <w:iCs/>
        </w:rPr>
        <w:t xml:space="preserve"> scenarios</w:t>
      </w:r>
      <w:r w:rsidR="0061788B">
        <w:rPr>
          <w:b/>
          <w:iCs/>
        </w:rPr>
        <w:t>:</w:t>
      </w:r>
    </w:p>
    <w:p w14:paraId="519D7589" w14:textId="3BD84F62" w:rsidR="0061788B" w:rsidRDefault="00C81816" w:rsidP="0061788B">
      <w:pPr>
        <w:numPr>
          <w:ilvl w:val="1"/>
          <w:numId w:val="20"/>
        </w:numPr>
        <w:jc w:val="both"/>
        <w:rPr>
          <w:bCs/>
          <w:iCs/>
        </w:rPr>
      </w:pPr>
      <w:r>
        <w:rPr>
          <w:bCs/>
          <w:iCs/>
        </w:rPr>
        <w:t xml:space="preserve">In V2X scenarios, </w:t>
      </w:r>
      <w:r w:rsidR="009E428F">
        <w:rPr>
          <w:bCs/>
          <w:iCs/>
        </w:rPr>
        <w:t xml:space="preserve">both Tx </w:t>
      </w:r>
      <w:r w:rsidR="000213F8">
        <w:rPr>
          <w:bCs/>
          <w:iCs/>
        </w:rPr>
        <w:t>UEs</w:t>
      </w:r>
      <w:r w:rsidR="009E428F">
        <w:rPr>
          <w:bCs/>
          <w:iCs/>
        </w:rPr>
        <w:t xml:space="preserve"> and Rx UEs</w:t>
      </w:r>
      <w:r w:rsidR="000213F8">
        <w:rPr>
          <w:bCs/>
          <w:iCs/>
        </w:rPr>
        <w:t xml:space="preserve"> </w:t>
      </w:r>
      <w:r>
        <w:rPr>
          <w:bCs/>
          <w:iCs/>
        </w:rPr>
        <w:t>can move at high speed.</w:t>
      </w:r>
      <w:r w:rsidR="00A727B9">
        <w:rPr>
          <w:bCs/>
          <w:iCs/>
        </w:rPr>
        <w:t xml:space="preserve"> So, channel contention and interference situation can change dynamically.</w:t>
      </w:r>
      <w:r w:rsidR="00E6303A">
        <w:rPr>
          <w:bCs/>
          <w:iCs/>
        </w:rPr>
        <w:t xml:space="preserve"> On the other hand,</w:t>
      </w:r>
      <w:r w:rsidR="00661CF4">
        <w:rPr>
          <w:bCs/>
          <w:iCs/>
        </w:rPr>
        <w:t xml:space="preserve"> in</w:t>
      </w:r>
      <w:r w:rsidR="00E6303A">
        <w:rPr>
          <w:bCs/>
          <w:iCs/>
        </w:rPr>
        <w:t xml:space="preserve"> </w:t>
      </w:r>
      <w:r w:rsidR="0015580E">
        <w:rPr>
          <w:bCs/>
          <w:iCs/>
        </w:rPr>
        <w:t>conventional unlicensed systems (e.g., LAA, NR-U)</w:t>
      </w:r>
      <w:r w:rsidR="00661CF4">
        <w:rPr>
          <w:bCs/>
          <w:iCs/>
        </w:rPr>
        <w:t xml:space="preserve">, the </w:t>
      </w:r>
      <w:r w:rsidR="0028500A">
        <w:rPr>
          <w:bCs/>
          <w:iCs/>
        </w:rPr>
        <w:t xml:space="preserve">main </w:t>
      </w:r>
      <w:r w:rsidR="00402D6D">
        <w:rPr>
          <w:bCs/>
          <w:iCs/>
        </w:rPr>
        <w:t>target scenarios</w:t>
      </w:r>
      <w:r w:rsidR="00661CF4">
        <w:rPr>
          <w:bCs/>
          <w:iCs/>
        </w:rPr>
        <w:t xml:space="preserve"> </w:t>
      </w:r>
      <w:r w:rsidR="00402D6D">
        <w:rPr>
          <w:bCs/>
          <w:iCs/>
        </w:rPr>
        <w:t>are</w:t>
      </w:r>
      <w:r w:rsidR="0077251F">
        <w:rPr>
          <w:bCs/>
          <w:iCs/>
        </w:rPr>
        <w:t xml:space="preserve"> stationary or</w:t>
      </w:r>
      <w:r w:rsidR="0015580E">
        <w:rPr>
          <w:bCs/>
          <w:iCs/>
        </w:rPr>
        <w:t xml:space="preserve"> low</w:t>
      </w:r>
      <w:r w:rsidR="002615D6">
        <w:rPr>
          <w:bCs/>
          <w:iCs/>
        </w:rPr>
        <w:t>-</w:t>
      </w:r>
      <w:r w:rsidR="0015580E">
        <w:rPr>
          <w:bCs/>
          <w:iCs/>
        </w:rPr>
        <w:t>mobility scenarios</w:t>
      </w:r>
      <w:r w:rsidR="00573911">
        <w:rPr>
          <w:bCs/>
          <w:iCs/>
        </w:rPr>
        <w:t xml:space="preserve"> (e.g., pedestrian UEs)</w:t>
      </w:r>
      <w:r w:rsidR="00A47AE7">
        <w:rPr>
          <w:bCs/>
          <w:iCs/>
        </w:rPr>
        <w:t>.</w:t>
      </w:r>
      <w:r w:rsidR="00E96C46">
        <w:rPr>
          <w:bCs/>
          <w:iCs/>
        </w:rPr>
        <w:t xml:space="preserve"> </w:t>
      </w:r>
      <w:r w:rsidR="00623952">
        <w:rPr>
          <w:bCs/>
          <w:iCs/>
        </w:rPr>
        <w:t>Also</w:t>
      </w:r>
      <w:r w:rsidR="00E96C46">
        <w:rPr>
          <w:bCs/>
          <w:iCs/>
        </w:rPr>
        <w:t xml:space="preserve">, </w:t>
      </w:r>
      <w:r w:rsidR="006B0B87">
        <w:rPr>
          <w:bCs/>
          <w:iCs/>
        </w:rPr>
        <w:t xml:space="preserve">base stations in LAA/NR-U </w:t>
      </w:r>
      <w:r w:rsidR="00364F46">
        <w:rPr>
          <w:bCs/>
          <w:iCs/>
        </w:rPr>
        <w:t>are</w:t>
      </w:r>
      <w:r w:rsidR="005F0CFD">
        <w:rPr>
          <w:bCs/>
          <w:iCs/>
        </w:rPr>
        <w:t xml:space="preserve"> </w:t>
      </w:r>
      <w:r w:rsidR="006B0B87">
        <w:rPr>
          <w:bCs/>
          <w:iCs/>
        </w:rPr>
        <w:t>stationary.</w:t>
      </w:r>
      <w:r>
        <w:rPr>
          <w:rFonts w:hint="eastAsia"/>
          <w:bCs/>
          <w:iCs/>
        </w:rPr>
        <w:t xml:space="preserve"> </w:t>
      </w:r>
      <w:r w:rsidR="00FB5739">
        <w:rPr>
          <w:bCs/>
          <w:iCs/>
        </w:rPr>
        <w:t xml:space="preserve">Therefore, </w:t>
      </w:r>
      <w:r w:rsidR="00211C8D">
        <w:rPr>
          <w:bCs/>
          <w:iCs/>
        </w:rPr>
        <w:t xml:space="preserve">we need </w:t>
      </w:r>
      <w:r w:rsidR="00350F90">
        <w:rPr>
          <w:bCs/>
          <w:iCs/>
        </w:rPr>
        <w:t xml:space="preserve">channel access mechanisms </w:t>
      </w:r>
      <w:r w:rsidR="007A652C">
        <w:rPr>
          <w:bCs/>
          <w:iCs/>
        </w:rPr>
        <w:t xml:space="preserve">that </w:t>
      </w:r>
      <w:r w:rsidR="00BE4EE6">
        <w:rPr>
          <w:bCs/>
          <w:iCs/>
        </w:rPr>
        <w:t>effectively support</w:t>
      </w:r>
      <w:r w:rsidR="00350F90">
        <w:rPr>
          <w:bCs/>
          <w:iCs/>
        </w:rPr>
        <w:t xml:space="preserve"> </w:t>
      </w:r>
      <w:r w:rsidR="007D7475">
        <w:rPr>
          <w:bCs/>
          <w:iCs/>
        </w:rPr>
        <w:t xml:space="preserve">outdoor </w:t>
      </w:r>
      <w:r w:rsidR="00211C8D">
        <w:rPr>
          <w:bCs/>
          <w:iCs/>
        </w:rPr>
        <w:t>mobility scenarios.</w:t>
      </w:r>
    </w:p>
    <w:p w14:paraId="52A20B13" w14:textId="5B0171D5" w:rsidR="00F75232" w:rsidRPr="00A96E2E" w:rsidRDefault="00F75232" w:rsidP="00F75232">
      <w:pPr>
        <w:numPr>
          <w:ilvl w:val="0"/>
          <w:numId w:val="20"/>
        </w:numPr>
        <w:jc w:val="both"/>
        <w:rPr>
          <w:b/>
          <w:iCs/>
        </w:rPr>
      </w:pPr>
      <w:r w:rsidRPr="00A96E2E">
        <w:rPr>
          <w:b/>
          <w:iCs/>
        </w:rPr>
        <w:t>Less contention and interference</w:t>
      </w:r>
      <w:r>
        <w:rPr>
          <w:b/>
          <w:iCs/>
        </w:rPr>
        <w:t>:</w:t>
      </w:r>
    </w:p>
    <w:p w14:paraId="7EAB35DC" w14:textId="4AED648C" w:rsidR="00F75232" w:rsidRPr="00926830" w:rsidRDefault="00F75232" w:rsidP="00926830">
      <w:pPr>
        <w:numPr>
          <w:ilvl w:val="1"/>
          <w:numId w:val="20"/>
        </w:numPr>
        <w:jc w:val="both"/>
        <w:rPr>
          <w:bCs/>
          <w:iCs/>
        </w:rPr>
      </w:pPr>
      <w:r>
        <w:rPr>
          <w:bCs/>
          <w:iCs/>
        </w:rPr>
        <w:t xml:space="preserve">In </w:t>
      </w:r>
      <w:r w:rsidR="00220DF1">
        <w:rPr>
          <w:bCs/>
          <w:iCs/>
        </w:rPr>
        <w:t xml:space="preserve">SL-U, there is no centralized </w:t>
      </w:r>
      <w:r w:rsidR="00733EBD">
        <w:rPr>
          <w:bCs/>
          <w:iCs/>
        </w:rPr>
        <w:t>scheduler</w:t>
      </w:r>
      <w:r w:rsidR="00A75954">
        <w:rPr>
          <w:bCs/>
          <w:iCs/>
        </w:rPr>
        <w:t>/coordinator</w:t>
      </w:r>
      <w:r w:rsidR="00B74DB3">
        <w:rPr>
          <w:bCs/>
          <w:iCs/>
        </w:rPr>
        <w:t xml:space="preserve"> (i.e., base stations)</w:t>
      </w:r>
      <w:r w:rsidR="00733EBD">
        <w:rPr>
          <w:bCs/>
          <w:iCs/>
        </w:rPr>
        <w:t xml:space="preserve"> </w:t>
      </w:r>
      <w:r w:rsidR="00F10447">
        <w:rPr>
          <w:bCs/>
          <w:iCs/>
        </w:rPr>
        <w:t>unlike</w:t>
      </w:r>
      <w:r w:rsidR="00733EBD">
        <w:rPr>
          <w:bCs/>
          <w:iCs/>
        </w:rPr>
        <w:t xml:space="preserve"> LAA</w:t>
      </w:r>
      <w:r w:rsidR="00DB5932">
        <w:rPr>
          <w:bCs/>
          <w:iCs/>
        </w:rPr>
        <w:t xml:space="preserve"> and </w:t>
      </w:r>
      <w:r w:rsidR="00733EBD">
        <w:rPr>
          <w:bCs/>
          <w:iCs/>
        </w:rPr>
        <w:t>NR-U</w:t>
      </w:r>
      <w:r>
        <w:rPr>
          <w:bCs/>
          <w:iCs/>
        </w:rPr>
        <w:t>. Therefore, we need channel access mechanisms with less contention and interference within SL-U systems</w:t>
      </w:r>
      <w:r w:rsidR="00451F67">
        <w:rPr>
          <w:bCs/>
          <w:iCs/>
        </w:rPr>
        <w:t xml:space="preserve"> without centralized scheduler/coordinator</w:t>
      </w:r>
      <w:r>
        <w:rPr>
          <w:bCs/>
          <w:iCs/>
        </w:rPr>
        <w:t xml:space="preserve">, while coexisting with other unlicensed systems (e.g., Wi-Fi, </w:t>
      </w:r>
      <w:r w:rsidR="00A46406">
        <w:rPr>
          <w:bCs/>
          <w:iCs/>
        </w:rPr>
        <w:t xml:space="preserve">LTE </w:t>
      </w:r>
      <w:r>
        <w:rPr>
          <w:bCs/>
          <w:iCs/>
        </w:rPr>
        <w:t>LAA, NR-U)</w:t>
      </w:r>
      <w:r w:rsidR="009F6A28">
        <w:rPr>
          <w:bCs/>
          <w:iCs/>
        </w:rPr>
        <w:t xml:space="preserve">, where </w:t>
      </w:r>
      <w:r w:rsidR="00631F9A">
        <w:rPr>
          <w:bCs/>
          <w:iCs/>
        </w:rPr>
        <w:t>Wi-Fi can be Wi-Fi hotspot</w:t>
      </w:r>
      <w:r w:rsidR="001F3BFB">
        <w:rPr>
          <w:bCs/>
          <w:iCs/>
        </w:rPr>
        <w:t xml:space="preserve"> (public, commercial, and/or personal)</w:t>
      </w:r>
      <w:r w:rsidR="00631F9A">
        <w:rPr>
          <w:bCs/>
          <w:iCs/>
        </w:rPr>
        <w:t xml:space="preserve">, </w:t>
      </w:r>
      <w:r w:rsidR="00731A57">
        <w:rPr>
          <w:bCs/>
          <w:iCs/>
        </w:rPr>
        <w:t>in-car Wi-Fi, etc</w:t>
      </w:r>
      <w:r>
        <w:rPr>
          <w:bCs/>
          <w:iCs/>
        </w:rPr>
        <w:t>.</w:t>
      </w:r>
    </w:p>
    <w:p w14:paraId="5551C30C" w14:textId="77777777" w:rsidR="00AA03DC" w:rsidRDefault="00AA03DC" w:rsidP="00E50648">
      <w:pPr>
        <w:jc w:val="both"/>
      </w:pPr>
    </w:p>
    <w:p w14:paraId="333A2A70" w14:textId="77777777" w:rsidR="00C85F26" w:rsidRPr="003B6D07" w:rsidRDefault="00C85F26" w:rsidP="00C85F26">
      <w:pPr>
        <w:numPr>
          <w:ilvl w:val="0"/>
          <w:numId w:val="15"/>
        </w:numPr>
        <w:tabs>
          <w:tab w:val="left" w:pos="1134"/>
        </w:tabs>
        <w:ind w:left="0" w:firstLine="0"/>
        <w:jc w:val="both"/>
        <w:rPr>
          <w:b/>
          <w:iCs/>
          <w:lang w:val="en-GB"/>
        </w:rPr>
      </w:pPr>
      <w:r>
        <w:rPr>
          <w:b/>
          <w:iCs/>
        </w:rPr>
        <w:t>The following V2X requirements are supported for SL-U:</w:t>
      </w:r>
    </w:p>
    <w:p w14:paraId="2AC30B83" w14:textId="716C6A87" w:rsidR="00387E22" w:rsidRDefault="00387E22" w:rsidP="00C85F26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Enough communication range (e.g., &gt; 300 m)</w:t>
      </w:r>
    </w:p>
    <w:p w14:paraId="2B693B46" w14:textId="5D5DDA3C" w:rsidR="00797795" w:rsidRDefault="00C85F26" w:rsidP="00C85F26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Efficient use of radio resources</w:t>
      </w:r>
    </w:p>
    <w:p w14:paraId="52711D0A" w14:textId="2EBF5086" w:rsidR="00E863A8" w:rsidRDefault="00E863A8" w:rsidP="00C85F26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Support of high mobility scenarios</w:t>
      </w:r>
    </w:p>
    <w:p w14:paraId="17F075D9" w14:textId="0D485815" w:rsidR="00C85F26" w:rsidRPr="00457278" w:rsidRDefault="002A4F28" w:rsidP="00457278">
      <w:pPr>
        <w:pStyle w:val="ListParagraph"/>
        <w:numPr>
          <w:ilvl w:val="0"/>
          <w:numId w:val="12"/>
        </w:numPr>
        <w:spacing w:line="240" w:lineRule="auto"/>
        <w:jc w:val="both"/>
        <w:rPr>
          <w:b/>
        </w:rPr>
      </w:pPr>
      <w:r>
        <w:rPr>
          <w:rFonts w:ascii="Times New Roman" w:hAnsi="Times New Roman"/>
          <w:b/>
          <w:iCs/>
          <w:sz w:val="20"/>
          <w:szCs w:val="20"/>
        </w:rPr>
        <w:t xml:space="preserve">Less </w:t>
      </w:r>
      <w:r w:rsidR="001C3938">
        <w:rPr>
          <w:rFonts w:ascii="Times New Roman" w:hAnsi="Times New Roman"/>
          <w:b/>
          <w:iCs/>
          <w:sz w:val="20"/>
          <w:szCs w:val="20"/>
        </w:rPr>
        <w:t xml:space="preserve">contention and </w:t>
      </w:r>
      <w:r>
        <w:rPr>
          <w:rFonts w:ascii="Times New Roman" w:hAnsi="Times New Roman"/>
          <w:b/>
          <w:iCs/>
          <w:sz w:val="20"/>
          <w:szCs w:val="20"/>
        </w:rPr>
        <w:t>interference</w:t>
      </w:r>
    </w:p>
    <w:p w14:paraId="46DC58F4" w14:textId="77777777" w:rsidR="00C85F26" w:rsidRPr="00797795" w:rsidRDefault="00C85F26" w:rsidP="00457278">
      <w:pPr>
        <w:tabs>
          <w:tab w:val="left" w:pos="1134"/>
        </w:tabs>
        <w:jc w:val="both"/>
        <w:rPr>
          <w:b/>
          <w:iCs/>
        </w:rPr>
      </w:pPr>
    </w:p>
    <w:p w14:paraId="21FBA673" w14:textId="470B4AC6" w:rsidR="00997319" w:rsidRDefault="00997319" w:rsidP="00997319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A1457CC" w14:textId="22C9BBF2" w:rsidR="00F116F3" w:rsidRPr="0045602C" w:rsidRDefault="00F116F3" w:rsidP="00F116F3">
      <w:pPr>
        <w:jc w:val="both"/>
      </w:pPr>
      <w:r w:rsidRPr="0045602C">
        <w:t xml:space="preserve">In this contribution we provided </w:t>
      </w:r>
      <w:r w:rsidRPr="00B371D1">
        <w:t>potential V2X use cases</w:t>
      </w:r>
      <w:r w:rsidR="00C44AE2">
        <w:t xml:space="preserve"> </w:t>
      </w:r>
      <w:r w:rsidRPr="00B371D1">
        <w:t xml:space="preserve">and requirements for </w:t>
      </w:r>
      <w:r w:rsidR="008B38FB">
        <w:t>SL-U</w:t>
      </w:r>
      <w:r w:rsidRPr="0045602C">
        <w:t xml:space="preserve">. Our proposals are summarized </w:t>
      </w:r>
      <w:r w:rsidR="0098702C">
        <w:t>as follows:</w:t>
      </w:r>
    </w:p>
    <w:p w14:paraId="03044B4C" w14:textId="748A2522" w:rsidR="008D7834" w:rsidRPr="00457278" w:rsidRDefault="008D7834" w:rsidP="00457278">
      <w:pPr>
        <w:numPr>
          <w:ilvl w:val="0"/>
          <w:numId w:val="16"/>
        </w:numPr>
        <w:tabs>
          <w:tab w:val="left" w:pos="1134"/>
        </w:tabs>
        <w:ind w:left="0" w:firstLine="0"/>
        <w:rPr>
          <w:b/>
          <w:iCs/>
        </w:rPr>
      </w:pPr>
      <w:r w:rsidRPr="008D7834">
        <w:rPr>
          <w:b/>
          <w:iCs/>
        </w:rPr>
        <w:t>The following UE types and V2X communication types are supported:</w:t>
      </w:r>
      <w:r w:rsidRPr="008D7834" w:rsidDel="008D7834">
        <w:rPr>
          <w:b/>
          <w:iCs/>
        </w:rPr>
        <w:t xml:space="preserve"> </w:t>
      </w:r>
    </w:p>
    <w:p w14:paraId="56C95616" w14:textId="77777777" w:rsidR="008D7834" w:rsidRDefault="008D7834" w:rsidP="008D7834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Vehicle-type UEs, RSU-type UEs, VRU-type UEs</w:t>
      </w:r>
    </w:p>
    <w:p w14:paraId="04F85BAC" w14:textId="77777777" w:rsidR="008D7834" w:rsidRDefault="008D7834" w:rsidP="008D7834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3B6D07">
        <w:rPr>
          <w:rFonts w:ascii="Times New Roman" w:hAnsi="Times New Roman"/>
          <w:b/>
          <w:iCs/>
          <w:sz w:val="20"/>
          <w:szCs w:val="20"/>
        </w:rPr>
        <w:t>V2V, V2I, V2P/VRU communications</w:t>
      </w:r>
    </w:p>
    <w:p w14:paraId="46E17926" w14:textId="77777777" w:rsidR="008D7834" w:rsidRDefault="008D7834" w:rsidP="008D7834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F5540F">
        <w:rPr>
          <w:rFonts w:ascii="Times New Roman" w:hAnsi="Times New Roman"/>
          <w:b/>
          <w:iCs/>
          <w:sz w:val="20"/>
          <w:szCs w:val="20"/>
        </w:rPr>
        <w:t>Broadcast, groupcast, unicast</w:t>
      </w:r>
    </w:p>
    <w:p w14:paraId="43B35755" w14:textId="7735F46B" w:rsidR="00C13EBD" w:rsidRPr="00457278" w:rsidRDefault="00C13EBD" w:rsidP="00457278">
      <w:pPr>
        <w:numPr>
          <w:ilvl w:val="0"/>
          <w:numId w:val="16"/>
        </w:numPr>
        <w:tabs>
          <w:tab w:val="left" w:pos="1134"/>
        </w:tabs>
        <w:ind w:left="0" w:firstLine="0"/>
        <w:rPr>
          <w:b/>
          <w:iCs/>
        </w:rPr>
      </w:pPr>
      <w:r w:rsidRPr="00C13EBD">
        <w:rPr>
          <w:b/>
          <w:iCs/>
        </w:rPr>
        <w:t>The following V2X requirements are supported for SL-U:</w:t>
      </w:r>
    </w:p>
    <w:p w14:paraId="522A3CCE" w14:textId="77777777" w:rsidR="00C13EBD" w:rsidRDefault="00C13EBD" w:rsidP="00C13EB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Enough communication range (e.g., &gt; 300 m)</w:t>
      </w:r>
    </w:p>
    <w:p w14:paraId="396B9E60" w14:textId="77777777" w:rsidR="00C13EBD" w:rsidRDefault="00C13EBD" w:rsidP="00C13EB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Efficient use of radio resources</w:t>
      </w:r>
    </w:p>
    <w:p w14:paraId="70A7A628" w14:textId="77777777" w:rsidR="00C13EBD" w:rsidRDefault="00C13EBD" w:rsidP="00C13EB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Support of high mobility scenarios</w:t>
      </w:r>
    </w:p>
    <w:p w14:paraId="59F472D3" w14:textId="6AE8775E" w:rsidR="00EC4AD3" w:rsidRDefault="006C6EA8" w:rsidP="00C13EB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iCs/>
          <w:sz w:val="20"/>
          <w:szCs w:val="20"/>
        </w:rPr>
      </w:pPr>
      <w:r w:rsidRPr="006C6EA8">
        <w:rPr>
          <w:rFonts w:ascii="Times New Roman" w:hAnsi="Times New Roman"/>
          <w:b/>
          <w:iCs/>
          <w:sz w:val="20"/>
          <w:szCs w:val="20"/>
        </w:rPr>
        <w:lastRenderedPageBreak/>
        <w:t>Less contention and interference</w:t>
      </w:r>
    </w:p>
    <w:p w14:paraId="4A8103DF" w14:textId="440C979D" w:rsidR="00F116F3" w:rsidRDefault="00F116F3" w:rsidP="00F116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0915D573" w14:textId="77777777" w:rsidR="00865365" w:rsidRPr="001135AF" w:rsidRDefault="00865365" w:rsidP="00865365">
      <w:pPr>
        <w:widowControl w:val="0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</w:pPr>
      <w:bookmarkStart w:id="12" w:name="_Ref520980791"/>
      <w:r w:rsidRPr="00761173">
        <w:rPr>
          <w:rFonts w:eastAsia="MS Mincho"/>
        </w:rPr>
        <w:t>RP-220842</w:t>
      </w:r>
      <w:r>
        <w:rPr>
          <w:rFonts w:eastAsia="MS Mincho"/>
        </w:rPr>
        <w:t>,</w:t>
      </w:r>
      <w:r w:rsidRPr="00761173">
        <w:rPr>
          <w:rFonts w:eastAsia="MS Mincho"/>
        </w:rPr>
        <w:t xml:space="preserve"> </w:t>
      </w:r>
      <w:r>
        <w:rPr>
          <w:rFonts w:eastAsia="MS Mincho"/>
        </w:rPr>
        <w:t>“</w:t>
      </w:r>
      <w:r w:rsidRPr="00761173">
        <w:rPr>
          <w:rFonts w:eastAsia="MS Mincho"/>
        </w:rPr>
        <w:t>Meeting Report for TSG RAN meeting #94e</w:t>
      </w:r>
      <w:r>
        <w:rPr>
          <w:rFonts w:eastAsia="MS Mincho"/>
        </w:rPr>
        <w:t>”</w:t>
      </w:r>
      <w:r w:rsidRPr="001135AF">
        <w:rPr>
          <w:rFonts w:eastAsia="MS Mincho"/>
        </w:rPr>
        <w:t xml:space="preserve">, </w:t>
      </w:r>
      <w:r w:rsidRPr="00761173">
        <w:rPr>
          <w:rFonts w:eastAsia="MS Mincho"/>
        </w:rPr>
        <w:t xml:space="preserve">Electronic Meeting, </w:t>
      </w:r>
      <w:r>
        <w:rPr>
          <w:rFonts w:eastAsia="MS Mincho"/>
        </w:rPr>
        <w:t xml:space="preserve">Dec. </w:t>
      </w:r>
      <w:r w:rsidRPr="00761173">
        <w:rPr>
          <w:rFonts w:eastAsia="MS Mincho"/>
        </w:rPr>
        <w:t>6</w:t>
      </w:r>
      <w:r>
        <w:rPr>
          <w:rFonts w:eastAsia="MS Mincho"/>
        </w:rPr>
        <w:t xml:space="preserve">th – 17th, </w:t>
      </w:r>
      <w:r w:rsidRPr="00761173">
        <w:rPr>
          <w:rFonts w:eastAsia="MS Mincho"/>
        </w:rPr>
        <w:t>2021</w:t>
      </w:r>
      <w:r w:rsidRPr="001135AF">
        <w:rPr>
          <w:rFonts w:eastAsia="MS Mincho"/>
        </w:rPr>
        <w:t>.</w:t>
      </w:r>
      <w:bookmarkEnd w:id="12"/>
    </w:p>
    <w:p w14:paraId="25AA5D4B" w14:textId="29FAC998" w:rsidR="00865365" w:rsidRPr="00457278" w:rsidRDefault="00865365" w:rsidP="00865365">
      <w:pPr>
        <w:widowControl w:val="0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Yu Mincho"/>
        </w:rPr>
      </w:pPr>
      <w:bookmarkStart w:id="13" w:name="_Ref99625861"/>
      <w:r w:rsidRPr="009E5021">
        <w:t>RP-</w:t>
      </w:r>
      <w:r w:rsidR="00A643D4" w:rsidRPr="00A643D4">
        <w:t>213678</w:t>
      </w:r>
      <w:r w:rsidRPr="009E5021">
        <w:t>, “</w:t>
      </w:r>
      <w:r w:rsidR="00A643D4">
        <w:t>WID</w:t>
      </w:r>
      <w:r w:rsidRPr="009E5021">
        <w:t xml:space="preserve"> on NR </w:t>
      </w:r>
      <w:r w:rsidR="003217BE">
        <w:t>s</w:t>
      </w:r>
      <w:r w:rsidR="00A643D4">
        <w:t xml:space="preserve">idelink </w:t>
      </w:r>
      <w:r w:rsidR="003217BE">
        <w:t>e</w:t>
      </w:r>
      <w:r w:rsidR="00A643D4">
        <w:t>volution</w:t>
      </w:r>
      <w:r w:rsidRPr="009E5021">
        <w:t xml:space="preserve">”, </w:t>
      </w:r>
      <w:r>
        <w:rPr>
          <w:rFonts w:eastAsia="MS Mincho"/>
        </w:rPr>
        <w:t xml:space="preserve">Dec. </w:t>
      </w:r>
      <w:r w:rsidRPr="00761173">
        <w:rPr>
          <w:rFonts w:eastAsia="MS Mincho"/>
        </w:rPr>
        <w:t>6</w:t>
      </w:r>
      <w:r>
        <w:rPr>
          <w:rFonts w:eastAsia="MS Mincho"/>
        </w:rPr>
        <w:t xml:space="preserve">th – 17th, </w:t>
      </w:r>
      <w:r w:rsidRPr="00761173">
        <w:rPr>
          <w:rFonts w:eastAsia="MS Mincho"/>
        </w:rPr>
        <w:t>2021</w:t>
      </w:r>
      <w:r w:rsidRPr="001135AF">
        <w:rPr>
          <w:rFonts w:eastAsia="MS Mincho"/>
        </w:rPr>
        <w:t>.</w:t>
      </w:r>
      <w:bookmarkEnd w:id="13"/>
    </w:p>
    <w:p w14:paraId="0EAC12C9" w14:textId="02F1A3A1" w:rsidR="00442D99" w:rsidRPr="00A55B14" w:rsidRDefault="00442D99" w:rsidP="00865365">
      <w:pPr>
        <w:widowControl w:val="0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Yu Mincho"/>
        </w:rPr>
      </w:pPr>
      <w:bookmarkStart w:id="14" w:name="_Ref100846475"/>
      <w:r>
        <w:t>ITS America, “</w:t>
      </w:r>
      <w:r w:rsidR="00E53627" w:rsidRPr="00E53627">
        <w:t>The Future of V2X: 30 MHz Application Map</w:t>
      </w:r>
      <w:r w:rsidR="00E53627">
        <w:t>,</w:t>
      </w:r>
      <w:r>
        <w:t>”</w:t>
      </w:r>
      <w:r w:rsidR="00E53627">
        <w:t xml:space="preserve"> Jan. 2021. </w:t>
      </w:r>
      <w:r w:rsidR="00E53627" w:rsidRPr="00E53627">
        <w:t>https://itsa.org/advocacy-material/the-future-of-v2x-30-mhz-application-map/</w:t>
      </w:r>
      <w:bookmarkEnd w:id="14"/>
    </w:p>
    <w:p w14:paraId="43D7FFA1" w14:textId="799548E7" w:rsidR="00A55B14" w:rsidRPr="00C32CAE" w:rsidRDefault="00A55B14" w:rsidP="00A55B14">
      <w:pPr>
        <w:widowControl w:val="0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Yu Mincho"/>
        </w:rPr>
      </w:pPr>
      <w:bookmarkStart w:id="15" w:name="_Ref100576736"/>
      <w:r w:rsidRPr="009E5021">
        <w:t>RP-213588, “Revised SID on Study on expanded and improved NR positioning”,</w:t>
      </w:r>
      <w:r>
        <w:t xml:space="preserve"> RAN </w:t>
      </w:r>
      <w:r w:rsidRPr="00761173">
        <w:t>#94e</w:t>
      </w:r>
      <w:r>
        <w:t>,</w:t>
      </w:r>
      <w:r w:rsidRPr="009E5021">
        <w:t xml:space="preserve"> </w:t>
      </w:r>
      <w:r w:rsidR="001B0985">
        <w:t>Dec.</w:t>
      </w:r>
      <w:r>
        <w:t xml:space="preserve"> </w:t>
      </w:r>
      <w:r w:rsidRPr="00761173">
        <w:t>2021</w:t>
      </w:r>
      <w:r w:rsidRPr="001135AF">
        <w:t>.</w:t>
      </w:r>
      <w:bookmarkEnd w:id="15"/>
    </w:p>
    <w:p w14:paraId="5E8E93DF" w14:textId="6A0C9CC6" w:rsidR="00573F37" w:rsidRPr="00A55B14" w:rsidRDefault="00C32CAE" w:rsidP="00A55B14">
      <w:pPr>
        <w:widowControl w:val="0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Yu Mincho"/>
        </w:rPr>
      </w:pPr>
      <w:bookmarkStart w:id="16" w:name="_Ref101949123"/>
      <w:r>
        <w:rPr>
          <w:rFonts w:eastAsia="Yu Mincho"/>
        </w:rPr>
        <w:t>SAE J2945/1, “</w:t>
      </w:r>
      <w:r w:rsidR="00FC392B" w:rsidRPr="00FC392B">
        <w:rPr>
          <w:rFonts w:eastAsia="Yu Mincho"/>
        </w:rPr>
        <w:t>On-Board System Requirements for V2V Safety Communications</w:t>
      </w:r>
      <w:r>
        <w:rPr>
          <w:rFonts w:eastAsia="Yu Mincho"/>
        </w:rPr>
        <w:t>”,</w:t>
      </w:r>
      <w:r w:rsidR="001B0985">
        <w:rPr>
          <w:rFonts w:eastAsia="Yu Mincho"/>
        </w:rPr>
        <w:t xml:space="preserve"> Apr. 2020.</w:t>
      </w:r>
      <w:bookmarkEnd w:id="16"/>
    </w:p>
    <w:p w14:paraId="256E5E61" w14:textId="77777777" w:rsidR="002F1940" w:rsidRPr="00997319" w:rsidRDefault="002F1940" w:rsidP="00865365"/>
    <w:sectPr w:rsidR="002F1940" w:rsidRPr="009973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60F9" w14:textId="77777777" w:rsidR="00377981" w:rsidRDefault="00377981">
      <w:pPr>
        <w:spacing w:after="0"/>
      </w:pPr>
      <w:r>
        <w:separator/>
      </w:r>
    </w:p>
  </w:endnote>
  <w:endnote w:type="continuationSeparator" w:id="0">
    <w:p w14:paraId="3F61CF01" w14:textId="77777777" w:rsidR="00377981" w:rsidRDefault="00377981">
      <w:pPr>
        <w:spacing w:after="0"/>
      </w:pPr>
      <w:r>
        <w:continuationSeparator/>
      </w:r>
    </w:p>
  </w:endnote>
  <w:endnote w:type="continuationNotice" w:id="1">
    <w:p w14:paraId="4812DC10" w14:textId="77777777" w:rsidR="00377981" w:rsidRDefault="00377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F0C0" w14:textId="77777777" w:rsidR="00377981" w:rsidRDefault="00377981">
      <w:pPr>
        <w:spacing w:after="0"/>
      </w:pPr>
      <w:r>
        <w:separator/>
      </w:r>
    </w:p>
  </w:footnote>
  <w:footnote w:type="continuationSeparator" w:id="0">
    <w:p w14:paraId="6220C262" w14:textId="77777777" w:rsidR="00377981" w:rsidRDefault="00377981">
      <w:pPr>
        <w:spacing w:after="0"/>
      </w:pPr>
      <w:r>
        <w:continuationSeparator/>
      </w:r>
    </w:p>
  </w:footnote>
  <w:footnote w:type="continuationNotice" w:id="1">
    <w:p w14:paraId="04134FF8" w14:textId="77777777" w:rsidR="00377981" w:rsidRDefault="003779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C2E40"/>
    <w:multiLevelType w:val="hybridMultilevel"/>
    <w:tmpl w:val="EF1C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2697C"/>
    <w:multiLevelType w:val="hybridMultilevel"/>
    <w:tmpl w:val="2402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A7BAB"/>
    <w:multiLevelType w:val="hybridMultilevel"/>
    <w:tmpl w:val="4BF8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153193"/>
    <w:multiLevelType w:val="hybridMultilevel"/>
    <w:tmpl w:val="1594379E"/>
    <w:lvl w:ilvl="0" w:tplc="941EBC80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C42877"/>
    <w:multiLevelType w:val="hybridMultilevel"/>
    <w:tmpl w:val="2900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43C49"/>
    <w:multiLevelType w:val="hybridMultilevel"/>
    <w:tmpl w:val="6DCA6EBE"/>
    <w:lvl w:ilvl="0" w:tplc="FFFFFFFF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 w15:restartNumberingAfterBreak="0">
    <w:nsid w:val="5D5D741D"/>
    <w:multiLevelType w:val="hybridMultilevel"/>
    <w:tmpl w:val="6DCA6EBE"/>
    <w:lvl w:ilvl="0" w:tplc="E7647372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DE447F9"/>
    <w:multiLevelType w:val="hybridMultilevel"/>
    <w:tmpl w:val="B9A4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CC46A6A"/>
    <w:multiLevelType w:val="hybridMultilevel"/>
    <w:tmpl w:val="767E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296476">
    <w:abstractNumId w:val="18"/>
  </w:num>
  <w:num w:numId="2" w16cid:durableId="1762677771">
    <w:abstractNumId w:val="13"/>
  </w:num>
  <w:num w:numId="3" w16cid:durableId="1527207300">
    <w:abstractNumId w:val="8"/>
  </w:num>
  <w:num w:numId="4" w16cid:durableId="2016489965">
    <w:abstractNumId w:val="3"/>
  </w:num>
  <w:num w:numId="5" w16cid:durableId="1636906672">
    <w:abstractNumId w:val="9"/>
  </w:num>
  <w:num w:numId="6" w16cid:durableId="123740579">
    <w:abstractNumId w:val="14"/>
  </w:num>
  <w:num w:numId="7" w16cid:durableId="2010794266">
    <w:abstractNumId w:val="7"/>
  </w:num>
  <w:num w:numId="8" w16cid:durableId="374042674">
    <w:abstractNumId w:val="0"/>
  </w:num>
  <w:num w:numId="9" w16cid:durableId="235559476">
    <w:abstractNumId w:val="11"/>
  </w:num>
  <w:num w:numId="10" w16cid:durableId="383723251">
    <w:abstractNumId w:val="5"/>
  </w:num>
  <w:num w:numId="11" w16cid:durableId="570894630">
    <w:abstractNumId w:val="4"/>
  </w:num>
  <w:num w:numId="12" w16cid:durableId="1153835110">
    <w:abstractNumId w:val="19"/>
  </w:num>
  <w:num w:numId="13" w16cid:durableId="477692063">
    <w:abstractNumId w:val="1"/>
  </w:num>
  <w:num w:numId="14" w16cid:durableId="2071952033">
    <w:abstractNumId w:val="10"/>
  </w:num>
  <w:num w:numId="15" w16cid:durableId="2012026824">
    <w:abstractNumId w:val="16"/>
  </w:num>
  <w:num w:numId="16" w16cid:durableId="1071737523">
    <w:abstractNumId w:val="15"/>
  </w:num>
  <w:num w:numId="17" w16cid:durableId="2084570687">
    <w:abstractNumId w:val="17"/>
  </w:num>
  <w:num w:numId="18" w16cid:durableId="822310006">
    <w:abstractNumId w:val="12"/>
  </w:num>
  <w:num w:numId="19" w16cid:durableId="1435397969">
    <w:abstractNumId w:val="6"/>
  </w:num>
  <w:num w:numId="20" w16cid:durableId="19765273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3F8"/>
    <w:rsid w:val="00033163"/>
    <w:rsid w:val="00040521"/>
    <w:rsid w:val="0004334D"/>
    <w:rsid w:val="000435D5"/>
    <w:rsid w:val="00053006"/>
    <w:rsid w:val="000558E3"/>
    <w:rsid w:val="000605EA"/>
    <w:rsid w:val="000611FD"/>
    <w:rsid w:val="00080EAC"/>
    <w:rsid w:val="00081D23"/>
    <w:rsid w:val="00082228"/>
    <w:rsid w:val="00090431"/>
    <w:rsid w:val="000A0FA3"/>
    <w:rsid w:val="000C32A9"/>
    <w:rsid w:val="000C6D7E"/>
    <w:rsid w:val="000D0579"/>
    <w:rsid w:val="000F6242"/>
    <w:rsid w:val="00104875"/>
    <w:rsid w:val="001111A6"/>
    <w:rsid w:val="0011748D"/>
    <w:rsid w:val="00125B20"/>
    <w:rsid w:val="00125B2C"/>
    <w:rsid w:val="0015133B"/>
    <w:rsid w:val="00154248"/>
    <w:rsid w:val="0015580E"/>
    <w:rsid w:val="00156465"/>
    <w:rsid w:val="001570E8"/>
    <w:rsid w:val="001602D6"/>
    <w:rsid w:val="00164D95"/>
    <w:rsid w:val="001748C6"/>
    <w:rsid w:val="00190D62"/>
    <w:rsid w:val="00193279"/>
    <w:rsid w:val="00194431"/>
    <w:rsid w:val="001A646C"/>
    <w:rsid w:val="001A6919"/>
    <w:rsid w:val="001B0985"/>
    <w:rsid w:val="001B53D9"/>
    <w:rsid w:val="001C3938"/>
    <w:rsid w:val="001D73D9"/>
    <w:rsid w:val="001F3BFB"/>
    <w:rsid w:val="00200A57"/>
    <w:rsid w:val="00206DDB"/>
    <w:rsid w:val="00211C8D"/>
    <w:rsid w:val="00220DF1"/>
    <w:rsid w:val="00232CFD"/>
    <w:rsid w:val="002335FE"/>
    <w:rsid w:val="00237FA4"/>
    <w:rsid w:val="0024285E"/>
    <w:rsid w:val="00251676"/>
    <w:rsid w:val="0025546A"/>
    <w:rsid w:val="00260D28"/>
    <w:rsid w:val="002615D6"/>
    <w:rsid w:val="002740FE"/>
    <w:rsid w:val="00280FDC"/>
    <w:rsid w:val="00283B4F"/>
    <w:rsid w:val="0028500A"/>
    <w:rsid w:val="002960BE"/>
    <w:rsid w:val="002A47B9"/>
    <w:rsid w:val="002A4F28"/>
    <w:rsid w:val="002B0D39"/>
    <w:rsid w:val="002C1A0B"/>
    <w:rsid w:val="002C463A"/>
    <w:rsid w:val="002C4A3D"/>
    <w:rsid w:val="002C57E9"/>
    <w:rsid w:val="002D0B64"/>
    <w:rsid w:val="002E54CD"/>
    <w:rsid w:val="002F1940"/>
    <w:rsid w:val="002F1C4D"/>
    <w:rsid w:val="003044A1"/>
    <w:rsid w:val="00313ABC"/>
    <w:rsid w:val="00320B4F"/>
    <w:rsid w:val="003217BE"/>
    <w:rsid w:val="00324C3E"/>
    <w:rsid w:val="00327E2B"/>
    <w:rsid w:val="00350F90"/>
    <w:rsid w:val="00356EAE"/>
    <w:rsid w:val="00361DE6"/>
    <w:rsid w:val="00361F33"/>
    <w:rsid w:val="00364F46"/>
    <w:rsid w:val="003701FF"/>
    <w:rsid w:val="00376AC3"/>
    <w:rsid w:val="00377981"/>
    <w:rsid w:val="00383545"/>
    <w:rsid w:val="00387E22"/>
    <w:rsid w:val="003952BF"/>
    <w:rsid w:val="003A0222"/>
    <w:rsid w:val="003A4912"/>
    <w:rsid w:val="003B2F8C"/>
    <w:rsid w:val="003B6D07"/>
    <w:rsid w:val="003C78D7"/>
    <w:rsid w:val="003D3371"/>
    <w:rsid w:val="003E7602"/>
    <w:rsid w:val="003F581B"/>
    <w:rsid w:val="00402D6D"/>
    <w:rsid w:val="00406FFC"/>
    <w:rsid w:val="00415D4E"/>
    <w:rsid w:val="00417792"/>
    <w:rsid w:val="00423E74"/>
    <w:rsid w:val="00433500"/>
    <w:rsid w:val="00433F71"/>
    <w:rsid w:val="00440D43"/>
    <w:rsid w:val="00440F44"/>
    <w:rsid w:val="00442AB9"/>
    <w:rsid w:val="00442D99"/>
    <w:rsid w:val="00442E5E"/>
    <w:rsid w:val="00451F67"/>
    <w:rsid w:val="0045717A"/>
    <w:rsid w:val="00457278"/>
    <w:rsid w:val="004609A1"/>
    <w:rsid w:val="00461448"/>
    <w:rsid w:val="004655CB"/>
    <w:rsid w:val="004775B8"/>
    <w:rsid w:val="00486AC4"/>
    <w:rsid w:val="004A01E0"/>
    <w:rsid w:val="004C38E6"/>
    <w:rsid w:val="004D746B"/>
    <w:rsid w:val="004D7A35"/>
    <w:rsid w:val="004E2770"/>
    <w:rsid w:val="004E3939"/>
    <w:rsid w:val="004E4E43"/>
    <w:rsid w:val="004E52F4"/>
    <w:rsid w:val="004F42F1"/>
    <w:rsid w:val="0050338A"/>
    <w:rsid w:val="00545BF8"/>
    <w:rsid w:val="00563B39"/>
    <w:rsid w:val="00567B85"/>
    <w:rsid w:val="00571D5A"/>
    <w:rsid w:val="00572539"/>
    <w:rsid w:val="00572746"/>
    <w:rsid w:val="00573911"/>
    <w:rsid w:val="00573F37"/>
    <w:rsid w:val="00576443"/>
    <w:rsid w:val="005875DC"/>
    <w:rsid w:val="005A46F5"/>
    <w:rsid w:val="005B35C0"/>
    <w:rsid w:val="005C2DBA"/>
    <w:rsid w:val="005D32CB"/>
    <w:rsid w:val="005E6238"/>
    <w:rsid w:val="005F0CFD"/>
    <w:rsid w:val="005F2E78"/>
    <w:rsid w:val="005F55EF"/>
    <w:rsid w:val="006059E6"/>
    <w:rsid w:val="006104DA"/>
    <w:rsid w:val="00615678"/>
    <w:rsid w:val="0061788B"/>
    <w:rsid w:val="006226F7"/>
    <w:rsid w:val="00622B80"/>
    <w:rsid w:val="00623952"/>
    <w:rsid w:val="006301C9"/>
    <w:rsid w:val="00631AA3"/>
    <w:rsid w:val="00631F9A"/>
    <w:rsid w:val="006330B6"/>
    <w:rsid w:val="006415B4"/>
    <w:rsid w:val="0064275B"/>
    <w:rsid w:val="00643CB7"/>
    <w:rsid w:val="00645C67"/>
    <w:rsid w:val="0064653B"/>
    <w:rsid w:val="00647AA4"/>
    <w:rsid w:val="00651886"/>
    <w:rsid w:val="00651CB0"/>
    <w:rsid w:val="00661CF4"/>
    <w:rsid w:val="006624D1"/>
    <w:rsid w:val="00682418"/>
    <w:rsid w:val="00694CD4"/>
    <w:rsid w:val="006959E4"/>
    <w:rsid w:val="006A2EBB"/>
    <w:rsid w:val="006B0B87"/>
    <w:rsid w:val="006C4B6D"/>
    <w:rsid w:val="006C4B8D"/>
    <w:rsid w:val="006C6EA8"/>
    <w:rsid w:val="006E693E"/>
    <w:rsid w:val="00707ABC"/>
    <w:rsid w:val="00723196"/>
    <w:rsid w:val="00725C13"/>
    <w:rsid w:val="00731A57"/>
    <w:rsid w:val="00733EBD"/>
    <w:rsid w:val="00736C98"/>
    <w:rsid w:val="00747AFC"/>
    <w:rsid w:val="00764364"/>
    <w:rsid w:val="00767CEB"/>
    <w:rsid w:val="00770C9E"/>
    <w:rsid w:val="00771E87"/>
    <w:rsid w:val="0077236F"/>
    <w:rsid w:val="0077251F"/>
    <w:rsid w:val="007738A9"/>
    <w:rsid w:val="00782188"/>
    <w:rsid w:val="0078354E"/>
    <w:rsid w:val="0078780B"/>
    <w:rsid w:val="00796464"/>
    <w:rsid w:val="007974C3"/>
    <w:rsid w:val="00797795"/>
    <w:rsid w:val="007A006E"/>
    <w:rsid w:val="007A652C"/>
    <w:rsid w:val="007B1A8F"/>
    <w:rsid w:val="007B1F6B"/>
    <w:rsid w:val="007B3106"/>
    <w:rsid w:val="007B5FCE"/>
    <w:rsid w:val="007C62EF"/>
    <w:rsid w:val="007D450D"/>
    <w:rsid w:val="007D4D2E"/>
    <w:rsid w:val="007D5275"/>
    <w:rsid w:val="007D7475"/>
    <w:rsid w:val="007E4666"/>
    <w:rsid w:val="007F4F92"/>
    <w:rsid w:val="008044B4"/>
    <w:rsid w:val="00813A01"/>
    <w:rsid w:val="00815395"/>
    <w:rsid w:val="00822952"/>
    <w:rsid w:val="008330FF"/>
    <w:rsid w:val="00865365"/>
    <w:rsid w:val="00883275"/>
    <w:rsid w:val="008958EE"/>
    <w:rsid w:val="008968DD"/>
    <w:rsid w:val="008B38FB"/>
    <w:rsid w:val="008C0E05"/>
    <w:rsid w:val="008C109B"/>
    <w:rsid w:val="008D1EF2"/>
    <w:rsid w:val="008D76BB"/>
    <w:rsid w:val="008D772F"/>
    <w:rsid w:val="008D7834"/>
    <w:rsid w:val="008E0B28"/>
    <w:rsid w:val="008E3A18"/>
    <w:rsid w:val="008E3F5C"/>
    <w:rsid w:val="00901420"/>
    <w:rsid w:val="00905A89"/>
    <w:rsid w:val="00910D5D"/>
    <w:rsid w:val="00913011"/>
    <w:rsid w:val="0092147D"/>
    <w:rsid w:val="00921C88"/>
    <w:rsid w:val="00921DCE"/>
    <w:rsid w:val="009254A8"/>
    <w:rsid w:val="00926830"/>
    <w:rsid w:val="00930D3B"/>
    <w:rsid w:val="00931B23"/>
    <w:rsid w:val="00936C5A"/>
    <w:rsid w:val="00953AE7"/>
    <w:rsid w:val="0096476D"/>
    <w:rsid w:val="0098702C"/>
    <w:rsid w:val="00994C7F"/>
    <w:rsid w:val="00997319"/>
    <w:rsid w:val="0099764C"/>
    <w:rsid w:val="009977FD"/>
    <w:rsid w:val="009A2EB8"/>
    <w:rsid w:val="009A6351"/>
    <w:rsid w:val="009B723A"/>
    <w:rsid w:val="009C5FE4"/>
    <w:rsid w:val="009E06BE"/>
    <w:rsid w:val="009E1CDB"/>
    <w:rsid w:val="009E428F"/>
    <w:rsid w:val="009F02C2"/>
    <w:rsid w:val="009F6A28"/>
    <w:rsid w:val="00A00005"/>
    <w:rsid w:val="00A04C4A"/>
    <w:rsid w:val="00A153FC"/>
    <w:rsid w:val="00A168A8"/>
    <w:rsid w:val="00A22F4A"/>
    <w:rsid w:val="00A3673F"/>
    <w:rsid w:val="00A36987"/>
    <w:rsid w:val="00A46406"/>
    <w:rsid w:val="00A47AE7"/>
    <w:rsid w:val="00A55B14"/>
    <w:rsid w:val="00A60D1E"/>
    <w:rsid w:val="00A643D4"/>
    <w:rsid w:val="00A6756A"/>
    <w:rsid w:val="00A6785B"/>
    <w:rsid w:val="00A727B9"/>
    <w:rsid w:val="00A75954"/>
    <w:rsid w:val="00A84CEF"/>
    <w:rsid w:val="00A90EB5"/>
    <w:rsid w:val="00AA03DC"/>
    <w:rsid w:val="00AA52F3"/>
    <w:rsid w:val="00AB4EDF"/>
    <w:rsid w:val="00AC0E08"/>
    <w:rsid w:val="00AC40E9"/>
    <w:rsid w:val="00AD1F79"/>
    <w:rsid w:val="00AD23B2"/>
    <w:rsid w:val="00AD5C8E"/>
    <w:rsid w:val="00AD7C30"/>
    <w:rsid w:val="00AE7F6E"/>
    <w:rsid w:val="00B04836"/>
    <w:rsid w:val="00B13113"/>
    <w:rsid w:val="00B209EB"/>
    <w:rsid w:val="00B26541"/>
    <w:rsid w:val="00B56796"/>
    <w:rsid w:val="00B60D94"/>
    <w:rsid w:val="00B74DB3"/>
    <w:rsid w:val="00B8416D"/>
    <w:rsid w:val="00B9686E"/>
    <w:rsid w:val="00B97703"/>
    <w:rsid w:val="00B97B0C"/>
    <w:rsid w:val="00BB58EA"/>
    <w:rsid w:val="00BD324C"/>
    <w:rsid w:val="00BE2610"/>
    <w:rsid w:val="00BE4EE6"/>
    <w:rsid w:val="00C13EBD"/>
    <w:rsid w:val="00C162B3"/>
    <w:rsid w:val="00C205D3"/>
    <w:rsid w:val="00C26B69"/>
    <w:rsid w:val="00C272B6"/>
    <w:rsid w:val="00C27DDD"/>
    <w:rsid w:val="00C32CAE"/>
    <w:rsid w:val="00C44AE2"/>
    <w:rsid w:val="00C53338"/>
    <w:rsid w:val="00C5656D"/>
    <w:rsid w:val="00C75820"/>
    <w:rsid w:val="00C81816"/>
    <w:rsid w:val="00C84AB2"/>
    <w:rsid w:val="00C85334"/>
    <w:rsid w:val="00C85F26"/>
    <w:rsid w:val="00C912F5"/>
    <w:rsid w:val="00C95206"/>
    <w:rsid w:val="00CA6AF3"/>
    <w:rsid w:val="00CB2AE7"/>
    <w:rsid w:val="00CD5979"/>
    <w:rsid w:val="00CD681E"/>
    <w:rsid w:val="00CD79E1"/>
    <w:rsid w:val="00CE5BC0"/>
    <w:rsid w:val="00CF3191"/>
    <w:rsid w:val="00CF58E3"/>
    <w:rsid w:val="00CF6087"/>
    <w:rsid w:val="00D02BC3"/>
    <w:rsid w:val="00D04005"/>
    <w:rsid w:val="00D07A32"/>
    <w:rsid w:val="00D254D0"/>
    <w:rsid w:val="00D50397"/>
    <w:rsid w:val="00D553CB"/>
    <w:rsid w:val="00D606C8"/>
    <w:rsid w:val="00D84C76"/>
    <w:rsid w:val="00DA32B0"/>
    <w:rsid w:val="00DA7D5E"/>
    <w:rsid w:val="00DB5932"/>
    <w:rsid w:val="00DC002F"/>
    <w:rsid w:val="00DC7A59"/>
    <w:rsid w:val="00DD62AD"/>
    <w:rsid w:val="00DE10DE"/>
    <w:rsid w:val="00DF0A6D"/>
    <w:rsid w:val="00DF5239"/>
    <w:rsid w:val="00DF5B63"/>
    <w:rsid w:val="00E06196"/>
    <w:rsid w:val="00E240BB"/>
    <w:rsid w:val="00E25AC0"/>
    <w:rsid w:val="00E307F0"/>
    <w:rsid w:val="00E37959"/>
    <w:rsid w:val="00E50648"/>
    <w:rsid w:val="00E526A6"/>
    <w:rsid w:val="00E53627"/>
    <w:rsid w:val="00E6303A"/>
    <w:rsid w:val="00E654BB"/>
    <w:rsid w:val="00E70641"/>
    <w:rsid w:val="00E716E3"/>
    <w:rsid w:val="00E75E92"/>
    <w:rsid w:val="00E83407"/>
    <w:rsid w:val="00E863A8"/>
    <w:rsid w:val="00E96C46"/>
    <w:rsid w:val="00EA25A1"/>
    <w:rsid w:val="00EB5AC9"/>
    <w:rsid w:val="00EC4AD3"/>
    <w:rsid w:val="00EC539E"/>
    <w:rsid w:val="00ED2E20"/>
    <w:rsid w:val="00ED745A"/>
    <w:rsid w:val="00EE552D"/>
    <w:rsid w:val="00EF3F10"/>
    <w:rsid w:val="00F07D91"/>
    <w:rsid w:val="00F10447"/>
    <w:rsid w:val="00F116F3"/>
    <w:rsid w:val="00F1512D"/>
    <w:rsid w:val="00F221DF"/>
    <w:rsid w:val="00F23735"/>
    <w:rsid w:val="00F273D8"/>
    <w:rsid w:val="00F3354C"/>
    <w:rsid w:val="00F5032A"/>
    <w:rsid w:val="00F526F1"/>
    <w:rsid w:val="00F5540F"/>
    <w:rsid w:val="00F55EF2"/>
    <w:rsid w:val="00F624FA"/>
    <w:rsid w:val="00F7298B"/>
    <w:rsid w:val="00F737C4"/>
    <w:rsid w:val="00F74EA0"/>
    <w:rsid w:val="00F75232"/>
    <w:rsid w:val="00F75B86"/>
    <w:rsid w:val="00F865D1"/>
    <w:rsid w:val="00F92BE8"/>
    <w:rsid w:val="00F976AB"/>
    <w:rsid w:val="00FA676B"/>
    <w:rsid w:val="00FB0736"/>
    <w:rsid w:val="00FB2883"/>
    <w:rsid w:val="00FB5739"/>
    <w:rsid w:val="00FC392B"/>
    <w:rsid w:val="00FE0D4A"/>
    <w:rsid w:val="00FE309A"/>
    <w:rsid w:val="00FE5331"/>
    <w:rsid w:val="074D22FA"/>
    <w:rsid w:val="15C1592D"/>
    <w:rsid w:val="16E5EB6E"/>
    <w:rsid w:val="4FE06ECD"/>
    <w:rsid w:val="5892DB8C"/>
    <w:rsid w:val="786C9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0E101E11-FEC1-CB40-9940-FC2B7E7A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sz w:val="22"/>
      <w:szCs w:val="22"/>
    </w:rPr>
  </w:style>
  <w:style w:type="numbering" w:customStyle="1" w:styleId="CurrentList1">
    <w:name w:val="Current List1"/>
    <w:uiPriority w:val="99"/>
    <w:rsid w:val="00C75820"/>
    <w:pPr>
      <w:numPr>
        <w:numId w:val="10"/>
      </w:numPr>
    </w:pPr>
  </w:style>
  <w:style w:type="paragraph" w:styleId="NormalWeb">
    <w:name w:val="Normal (Web)"/>
    <w:basedOn w:val="Normal"/>
    <w:uiPriority w:val="99"/>
    <w:semiHidden/>
    <w:unhideWhenUsed/>
    <w:rsid w:val="00747AFC"/>
    <w:rPr>
      <w:sz w:val="24"/>
      <w:szCs w:val="24"/>
    </w:rPr>
  </w:style>
  <w:style w:type="paragraph" w:styleId="Revision">
    <w:name w:val="Revision"/>
    <w:hidden/>
    <w:uiPriority w:val="99"/>
    <w:semiHidden/>
    <w:rsid w:val="00563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9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8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BE1D21-8E59-614D-902B-56C0385E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4</Pages>
  <Words>1466</Words>
  <Characters>7848</Characters>
  <Application>Microsoft Office Word</Application>
  <DocSecurity>0</DocSecurity>
  <Lines>224</Lines>
  <Paragraphs>113</Paragraphs>
  <ScaleCrop>false</ScaleCrop>
  <Company>ETSI Sophia Antipolis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Takayuki Shimizu</cp:lastModifiedBy>
  <cp:revision>203</cp:revision>
  <cp:lastPrinted>2002-04-23T07:10:00Z</cp:lastPrinted>
  <dcterms:created xsi:type="dcterms:W3CDTF">2022-04-11T22:10:00Z</dcterms:created>
  <dcterms:modified xsi:type="dcterms:W3CDTF">2022-04-29T16:46:00Z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